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6C447" w14:textId="7267BABA" w:rsidR="00A50502" w:rsidRPr="003A47A1" w:rsidRDefault="00A50502" w:rsidP="00A50502">
      <w:pPr>
        <w:pStyle w:val="CRCoverPage"/>
        <w:tabs>
          <w:tab w:val="right" w:pos="9639"/>
        </w:tabs>
        <w:rPr>
          <w:rFonts w:asciiTheme="majorHAnsi" w:eastAsia="宋体" w:hAnsiTheme="majorHAnsi" w:cstheme="majorHAnsi"/>
          <w:b/>
          <w:sz w:val="24"/>
          <w:szCs w:val="24"/>
          <w:lang w:val="en-US" w:eastAsia="zh-CN"/>
        </w:rPr>
      </w:pPr>
      <w:bookmarkStart w:id="0" w:name="_Ref399006623"/>
      <w:bookmarkStart w:id="1" w:name="_Toc92513360"/>
      <w:r w:rsidRPr="003A47A1">
        <w:rPr>
          <w:rFonts w:asciiTheme="majorHAnsi" w:hAnsiTheme="majorHAnsi" w:cstheme="majorHAnsi"/>
          <w:b/>
          <w:sz w:val="24"/>
          <w:szCs w:val="24"/>
        </w:rPr>
        <w:t>3GPP TSG-</w:t>
      </w:r>
      <w:r w:rsidRPr="003A47A1">
        <w:rPr>
          <w:rFonts w:asciiTheme="majorHAnsi" w:hAnsiTheme="majorHAnsi" w:cstheme="majorHAnsi"/>
          <w:b/>
          <w:sz w:val="24"/>
          <w:szCs w:val="24"/>
          <w:lang w:val="en-US" w:eastAsia="zh-CN"/>
        </w:rPr>
        <w:t>RAN</w:t>
      </w:r>
      <w:r w:rsidRPr="003A47A1">
        <w:rPr>
          <w:rFonts w:asciiTheme="majorHAnsi" w:hAnsiTheme="majorHAnsi" w:cstheme="majorHAnsi"/>
          <w:b/>
          <w:sz w:val="24"/>
          <w:szCs w:val="24"/>
        </w:rPr>
        <w:t xml:space="preserve"> </w:t>
      </w:r>
      <w:r w:rsidRPr="003A47A1">
        <w:rPr>
          <w:rFonts w:asciiTheme="majorHAnsi" w:eastAsia="宋体" w:hAnsiTheme="majorHAnsi" w:cstheme="majorHAnsi"/>
          <w:b/>
          <w:sz w:val="24"/>
          <w:szCs w:val="24"/>
          <w:lang w:val="en-US" w:eastAsia="zh-CN"/>
        </w:rPr>
        <w:t xml:space="preserve">WG4 </w:t>
      </w:r>
      <w:r w:rsidRPr="003A47A1">
        <w:rPr>
          <w:rFonts w:asciiTheme="majorHAnsi" w:hAnsiTheme="majorHAnsi" w:cstheme="majorHAnsi"/>
          <w:b/>
          <w:sz w:val="24"/>
          <w:szCs w:val="24"/>
        </w:rPr>
        <w:t>Meeting 1</w:t>
      </w:r>
      <w:r>
        <w:rPr>
          <w:rFonts w:asciiTheme="majorHAnsi" w:hAnsiTheme="majorHAnsi" w:cstheme="majorHAnsi"/>
          <w:b/>
          <w:sz w:val="24"/>
          <w:szCs w:val="24"/>
        </w:rPr>
        <w:t>15</w:t>
      </w:r>
      <w:r w:rsidRPr="003A47A1">
        <w:rPr>
          <w:rFonts w:asciiTheme="majorHAnsi" w:hAnsiTheme="majorHAnsi" w:cstheme="majorHAnsi"/>
          <w:b/>
          <w:i/>
          <w:sz w:val="24"/>
          <w:szCs w:val="24"/>
        </w:rPr>
        <w:tab/>
      </w:r>
      <w:r w:rsidRPr="00A50502">
        <w:rPr>
          <w:rFonts w:asciiTheme="majorHAnsi" w:eastAsia="宋体" w:hAnsiTheme="majorHAnsi" w:cstheme="majorHAnsi"/>
          <w:b/>
          <w:sz w:val="24"/>
          <w:szCs w:val="24"/>
          <w:lang w:val="en-US" w:eastAsia="zh-CN"/>
        </w:rPr>
        <w:t>R4-2505765</w:t>
      </w:r>
    </w:p>
    <w:p w14:paraId="39133F0B" w14:textId="77777777" w:rsidR="00B44B7B" w:rsidRPr="00420833" w:rsidRDefault="00B44B7B" w:rsidP="00B44B7B">
      <w:pPr>
        <w:spacing w:after="120"/>
        <w:rPr>
          <w:rFonts w:eastAsia="Times New Roman"/>
          <w:b/>
          <w:sz w:val="24"/>
          <w:szCs w:val="24"/>
          <w:lang w:val="en-GB" w:eastAsia="en-US"/>
        </w:rPr>
      </w:pPr>
      <w:r w:rsidRPr="00420833">
        <w:rPr>
          <w:rFonts w:eastAsia="Times New Roman"/>
          <w:b/>
          <w:sz w:val="24"/>
          <w:szCs w:val="24"/>
          <w:lang w:val="en-GB" w:eastAsia="en-US"/>
        </w:rPr>
        <w:t>Malta, MT, 19th – 23rd May, 2025</w:t>
      </w:r>
    </w:p>
    <w:p w14:paraId="551E72EA" w14:textId="77777777" w:rsidR="00A50502" w:rsidRPr="00B44B7B" w:rsidRDefault="00A50502" w:rsidP="00A50502">
      <w:pPr>
        <w:overflowPunct w:val="0"/>
        <w:autoSpaceDE w:val="0"/>
        <w:autoSpaceDN w:val="0"/>
        <w:adjustRightInd w:val="0"/>
        <w:spacing w:after="120"/>
        <w:textAlignment w:val="baseline"/>
        <w:rPr>
          <w:rFonts w:asciiTheme="majorHAnsi" w:hAnsiTheme="majorHAnsi"/>
          <w:b/>
          <w:bCs/>
          <w:szCs w:val="20"/>
          <w:lang w:val="en-GB"/>
        </w:rPr>
      </w:pPr>
    </w:p>
    <w:p w14:paraId="0C2B6F73" w14:textId="77777777" w:rsidR="00A50502" w:rsidRPr="003A47A1" w:rsidRDefault="00A50502" w:rsidP="00A50502">
      <w:pPr>
        <w:tabs>
          <w:tab w:val="left" w:pos="1985"/>
        </w:tabs>
        <w:spacing w:after="120"/>
        <w:rPr>
          <w:rFonts w:asciiTheme="majorHAnsi" w:hAnsiTheme="majorHAnsi"/>
          <w:b/>
          <w:sz w:val="21"/>
        </w:rPr>
      </w:pPr>
      <w:r w:rsidRPr="003A47A1">
        <w:rPr>
          <w:rFonts w:asciiTheme="majorHAnsi" w:hAnsiTheme="majorHAnsi"/>
          <w:b/>
          <w:sz w:val="21"/>
        </w:rPr>
        <w:t xml:space="preserve">Source: </w:t>
      </w:r>
      <w:r w:rsidRPr="003A47A1">
        <w:rPr>
          <w:rFonts w:asciiTheme="majorHAnsi" w:hAnsiTheme="majorHAnsi"/>
          <w:b/>
          <w:sz w:val="21"/>
        </w:rPr>
        <w:tab/>
      </w:r>
      <w:r w:rsidRPr="003A47A1">
        <w:rPr>
          <w:rFonts w:asciiTheme="majorHAnsi" w:hAnsiTheme="majorHAnsi"/>
          <w:sz w:val="21"/>
        </w:rPr>
        <w:t>Xiaomi</w:t>
      </w:r>
    </w:p>
    <w:p w14:paraId="795F4C97" w14:textId="61F8582C" w:rsidR="00A50502" w:rsidRPr="003A47A1" w:rsidRDefault="00A50502" w:rsidP="00A50502">
      <w:pPr>
        <w:spacing w:after="120"/>
        <w:ind w:left="1985" w:hanging="1985"/>
        <w:rPr>
          <w:rFonts w:asciiTheme="majorHAnsi" w:hAnsiTheme="majorHAnsi"/>
          <w:sz w:val="21"/>
        </w:rPr>
      </w:pPr>
      <w:r w:rsidRPr="003A47A1">
        <w:rPr>
          <w:rFonts w:asciiTheme="majorHAnsi" w:hAnsiTheme="majorHAnsi"/>
          <w:b/>
          <w:sz w:val="21"/>
        </w:rPr>
        <w:t>Title:</w:t>
      </w:r>
      <w:r w:rsidRPr="003A47A1">
        <w:rPr>
          <w:rFonts w:asciiTheme="majorHAnsi" w:hAnsiTheme="majorHAnsi"/>
          <w:sz w:val="21"/>
        </w:rPr>
        <w:t xml:space="preserve"> </w:t>
      </w:r>
      <w:r w:rsidRPr="003A47A1">
        <w:rPr>
          <w:rFonts w:asciiTheme="majorHAnsi" w:hAnsiTheme="majorHAnsi"/>
          <w:sz w:val="21"/>
        </w:rPr>
        <w:tab/>
        <w:t xml:space="preserve">Discussion on </w:t>
      </w:r>
      <w:r>
        <w:rPr>
          <w:rFonts w:asciiTheme="majorHAnsi" w:hAnsiTheme="majorHAnsi"/>
          <w:sz w:val="21"/>
        </w:rPr>
        <w:t>performance</w:t>
      </w:r>
      <w:r w:rsidRPr="003A47A1">
        <w:rPr>
          <w:rFonts w:asciiTheme="majorHAnsi" w:hAnsiTheme="majorHAnsi"/>
          <w:sz w:val="21"/>
        </w:rPr>
        <w:t xml:space="preserve"> requirement for AI beam management</w:t>
      </w:r>
    </w:p>
    <w:p w14:paraId="580A3770" w14:textId="648C4FB2" w:rsidR="00A50502" w:rsidRPr="003A47A1" w:rsidRDefault="00A50502" w:rsidP="00A50502">
      <w:pPr>
        <w:spacing w:after="120"/>
        <w:ind w:left="1985" w:hanging="1985"/>
        <w:rPr>
          <w:rFonts w:asciiTheme="majorHAnsi" w:hAnsiTheme="majorHAnsi"/>
          <w:sz w:val="21"/>
          <w:highlight w:val="yellow"/>
        </w:rPr>
      </w:pPr>
      <w:r w:rsidRPr="003A47A1">
        <w:rPr>
          <w:rFonts w:asciiTheme="majorHAnsi" w:hAnsiTheme="majorHAnsi"/>
          <w:b/>
          <w:sz w:val="21"/>
        </w:rPr>
        <w:t>Agenda Item:</w:t>
      </w:r>
      <w:r w:rsidRPr="003A47A1">
        <w:rPr>
          <w:rFonts w:asciiTheme="majorHAnsi" w:hAnsiTheme="majorHAnsi"/>
          <w:sz w:val="21"/>
        </w:rPr>
        <w:tab/>
        <w:t>7.</w:t>
      </w:r>
      <w:r>
        <w:rPr>
          <w:rFonts w:asciiTheme="majorHAnsi" w:hAnsiTheme="majorHAnsi"/>
          <w:sz w:val="21"/>
        </w:rPr>
        <w:t>21</w:t>
      </w:r>
      <w:r w:rsidRPr="003A47A1">
        <w:rPr>
          <w:rFonts w:asciiTheme="majorHAnsi" w:hAnsiTheme="majorHAnsi"/>
          <w:sz w:val="21"/>
        </w:rPr>
        <w:t>.</w:t>
      </w:r>
      <w:r>
        <w:rPr>
          <w:rFonts w:asciiTheme="majorHAnsi" w:hAnsiTheme="majorHAnsi"/>
          <w:sz w:val="21"/>
        </w:rPr>
        <w:t>6</w:t>
      </w:r>
    </w:p>
    <w:p w14:paraId="1AFDA3D3" w14:textId="77777777" w:rsidR="00A50502" w:rsidRPr="003A47A1" w:rsidRDefault="00A50502" w:rsidP="00A50502">
      <w:pPr>
        <w:tabs>
          <w:tab w:val="left" w:pos="1990"/>
        </w:tabs>
        <w:spacing w:after="120"/>
        <w:rPr>
          <w:rFonts w:asciiTheme="majorHAnsi" w:hAnsiTheme="majorHAnsi"/>
          <w:sz w:val="21"/>
        </w:rPr>
      </w:pPr>
      <w:r w:rsidRPr="003A47A1">
        <w:rPr>
          <w:rFonts w:asciiTheme="majorHAnsi" w:hAnsiTheme="majorHAnsi"/>
          <w:b/>
          <w:sz w:val="21"/>
        </w:rPr>
        <w:t>Document for:</w:t>
      </w:r>
      <w:r w:rsidRPr="003A47A1">
        <w:rPr>
          <w:rFonts w:asciiTheme="majorHAnsi" w:hAnsiTheme="majorHAnsi"/>
          <w:sz w:val="21"/>
        </w:rPr>
        <w:tab/>
        <w:t>Discussion</w:t>
      </w:r>
    </w:p>
    <w:bookmarkEnd w:id="0"/>
    <w:bookmarkEnd w:id="1"/>
    <w:p w14:paraId="0F828ADB"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Introduction</w:t>
      </w:r>
    </w:p>
    <w:p w14:paraId="1E15A5B0" w14:textId="01E22831" w:rsidR="00A50502" w:rsidRPr="003A47A1" w:rsidRDefault="00A50502" w:rsidP="00A50502">
      <w:pPr>
        <w:overflowPunct w:val="0"/>
        <w:autoSpaceDE w:val="0"/>
        <w:autoSpaceDN w:val="0"/>
        <w:adjustRightInd w:val="0"/>
        <w:spacing w:before="120" w:after="120" w:line="288" w:lineRule="auto"/>
        <w:textAlignment w:val="baseline"/>
        <w:rPr>
          <w:rFonts w:asciiTheme="majorHAnsi" w:hAnsiTheme="majorHAnsi"/>
          <w:szCs w:val="20"/>
          <w:lang w:val="en-GB"/>
        </w:rPr>
      </w:pPr>
      <w:r w:rsidRPr="003A47A1">
        <w:rPr>
          <w:rFonts w:asciiTheme="majorHAnsi" w:hAnsiTheme="majorHAnsi"/>
          <w:szCs w:val="20"/>
          <w:lang w:val="en-GB"/>
        </w:rPr>
        <w:t xml:space="preserve">In this contribution, we will discuss </w:t>
      </w:r>
      <w:r>
        <w:rPr>
          <w:rFonts w:asciiTheme="majorHAnsi" w:hAnsiTheme="majorHAnsi"/>
          <w:szCs w:val="20"/>
          <w:lang w:val="en-GB"/>
        </w:rPr>
        <w:t>performance</w:t>
      </w:r>
      <w:r w:rsidRPr="003A47A1">
        <w:rPr>
          <w:rFonts w:asciiTheme="majorHAnsi" w:hAnsiTheme="majorHAnsi"/>
          <w:szCs w:val="20"/>
          <w:lang w:val="en-GB"/>
        </w:rPr>
        <w:t xml:space="preserve"> requirement for AI based beam management.</w:t>
      </w:r>
    </w:p>
    <w:p w14:paraId="3F821845"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Discussion</w:t>
      </w:r>
    </w:p>
    <w:p w14:paraId="7CE9E5E8" w14:textId="77777777"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 xml:space="preserve">2.1 Performance metric </w:t>
      </w:r>
    </w:p>
    <w:p w14:paraId="3425E321" w14:textId="77777777"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w:t>
      </w:r>
      <w:r>
        <w:rPr>
          <w:rFonts w:asciiTheme="majorHAnsi" w:hAnsiTheme="majorHAnsi" w:cstheme="majorHAnsi"/>
          <w:sz w:val="24"/>
          <w:szCs w:val="24"/>
        </w:rPr>
        <w:t>1</w:t>
      </w:r>
      <w:r w:rsidRPr="003A47A1">
        <w:rPr>
          <w:rFonts w:asciiTheme="majorHAnsi" w:hAnsiTheme="majorHAnsi" w:cstheme="majorHAnsi"/>
          <w:sz w:val="24"/>
          <w:szCs w:val="24"/>
        </w:rPr>
        <w:t xml:space="preserve"> Beam ID accuracy</w:t>
      </w:r>
    </w:p>
    <w:p w14:paraId="2C87278E" w14:textId="77777777" w:rsidR="00A50502" w:rsidRPr="003A47A1" w:rsidRDefault="00A50502" w:rsidP="00A50502">
      <w:pPr>
        <w:spacing w:beforeLines="50" w:before="120" w:after="120"/>
        <w:rPr>
          <w:rFonts w:asciiTheme="majorHAnsi" w:hAnsiTheme="majorHAnsi"/>
          <w:szCs w:val="20"/>
        </w:rPr>
      </w:pPr>
      <w:r w:rsidRPr="003A47A1">
        <w:rPr>
          <w:rFonts w:asciiTheme="majorHAnsi" w:hAnsiTheme="majorHAnsi"/>
          <w:lang w:val="en-GB"/>
        </w:rPr>
        <w:t>In last meeting, metrics for beam ID prediction is agreed:</w:t>
      </w:r>
    </w:p>
    <w:tbl>
      <w:tblPr>
        <w:tblStyle w:val="ad"/>
        <w:tblW w:w="0" w:type="auto"/>
        <w:tblLook w:val="04A0" w:firstRow="1" w:lastRow="0" w:firstColumn="1" w:lastColumn="0" w:noHBand="0" w:noVBand="1"/>
      </w:tblPr>
      <w:tblGrid>
        <w:gridCol w:w="9628"/>
      </w:tblGrid>
      <w:tr w:rsidR="00A50502" w:rsidRPr="003A47A1" w14:paraId="016A618F" w14:textId="77777777" w:rsidTr="007E215B">
        <w:tc>
          <w:tcPr>
            <w:tcW w:w="9628" w:type="dxa"/>
          </w:tcPr>
          <w:p w14:paraId="58053FC3" w14:textId="77777777" w:rsidR="00A50502" w:rsidRPr="003A47A1" w:rsidRDefault="00A50502" w:rsidP="007E215B">
            <w:pPr>
              <w:spacing w:after="120"/>
              <w:rPr>
                <w:rFonts w:asciiTheme="majorHAnsi" w:eastAsia="Yu Mincho" w:hAnsiTheme="majorHAnsi"/>
                <w:b/>
                <w:u w:val="single"/>
                <w:lang w:eastAsia="ja-JP"/>
              </w:rPr>
            </w:pPr>
            <w:r w:rsidRPr="003A47A1">
              <w:rPr>
                <w:rFonts w:asciiTheme="majorHAnsi" w:hAnsiTheme="majorHAnsi"/>
                <w:b/>
                <w:u w:val="single"/>
                <w:lang w:eastAsia="ko-KR"/>
              </w:rPr>
              <w:t xml:space="preserve">Issue 2-1: Metrics/KPIs for </w:t>
            </w:r>
            <w:r w:rsidRPr="003A47A1">
              <w:rPr>
                <w:rFonts w:asciiTheme="majorHAnsi" w:eastAsia="Yu Mincho" w:hAnsiTheme="majorHAnsi"/>
                <w:b/>
                <w:u w:val="single"/>
                <w:lang w:eastAsia="ja-JP"/>
              </w:rPr>
              <w:t>beam ID prediction</w:t>
            </w:r>
          </w:p>
          <w:p w14:paraId="5C6BF920" w14:textId="77777777" w:rsidR="00A50502" w:rsidRPr="003A47A1" w:rsidRDefault="00A50502" w:rsidP="007E215B">
            <w:pPr>
              <w:spacing w:after="120"/>
              <w:rPr>
                <w:rFonts w:asciiTheme="majorHAnsi" w:hAnsiTheme="majorHAnsi"/>
                <w:b/>
                <w:bCs/>
                <w:iCs/>
              </w:rPr>
            </w:pPr>
            <w:r w:rsidRPr="003A47A1">
              <w:rPr>
                <w:rFonts w:asciiTheme="majorHAnsi" w:hAnsiTheme="majorHAnsi"/>
                <w:b/>
                <w:bCs/>
                <w:iCs/>
              </w:rPr>
              <w:t>Agreement:</w:t>
            </w:r>
          </w:p>
          <w:p w14:paraId="35411FEF" w14:textId="77777777" w:rsidR="00A50502" w:rsidRPr="003A47A1" w:rsidRDefault="00A50502" w:rsidP="00420833">
            <w:pPr>
              <w:pStyle w:val="ab"/>
              <w:numPr>
                <w:ilvl w:val="0"/>
                <w:numId w:val="9"/>
              </w:numPr>
              <w:overflowPunct w:val="0"/>
              <w:autoSpaceDE w:val="0"/>
              <w:autoSpaceDN w:val="0"/>
              <w:adjustRightInd w:val="0"/>
              <w:spacing w:after="120"/>
              <w:ind w:firstLineChars="0"/>
              <w:textAlignment w:val="baseline"/>
              <w:rPr>
                <w:rFonts w:asciiTheme="majorHAnsi" w:eastAsia="Yu Mincho" w:hAnsiTheme="majorHAnsi"/>
                <w:bCs/>
                <w:iCs/>
                <w:lang w:eastAsia="ja-JP"/>
              </w:rPr>
            </w:pPr>
            <w:r w:rsidRPr="003A47A1">
              <w:rPr>
                <w:rFonts w:asciiTheme="majorHAnsi" w:hAnsiTheme="majorHAnsi"/>
                <w:bCs/>
                <w:lang w:eastAsia="ko-KR"/>
              </w:rPr>
              <w:t xml:space="preserve">Metrics/KPIs for </w:t>
            </w:r>
            <w:r w:rsidRPr="003A47A1">
              <w:rPr>
                <w:rFonts w:asciiTheme="majorHAnsi" w:eastAsia="Yu Mincho" w:hAnsiTheme="majorHAnsi"/>
                <w:bCs/>
                <w:lang w:eastAsia="ja-JP"/>
              </w:rPr>
              <w:t>beam ID prediction, at least for the case if only beam ID is reported</w:t>
            </w:r>
            <w:r w:rsidRPr="003A47A1">
              <w:rPr>
                <w:rFonts w:asciiTheme="majorHAnsi" w:eastAsia="Yu Mincho" w:hAnsiTheme="majorHAnsi"/>
                <w:bCs/>
                <w:iCs/>
                <w:lang w:eastAsia="ja-JP"/>
              </w:rPr>
              <w:t xml:space="preserve">: </w:t>
            </w:r>
          </w:p>
          <w:p w14:paraId="1E72EF77" w14:textId="77777777" w:rsidR="00A50502" w:rsidRPr="003A47A1" w:rsidRDefault="00A50502" w:rsidP="007E215B">
            <w:pPr>
              <w:pStyle w:val="ab"/>
              <w:spacing w:after="120"/>
              <w:ind w:left="420" w:firstLine="400"/>
              <w:rPr>
                <w:rFonts w:asciiTheme="majorHAnsi" w:eastAsia="Yu Mincho" w:hAnsiTheme="majorHAnsi"/>
                <w:iCs/>
                <w:lang w:eastAsia="ja-JP"/>
              </w:rPr>
            </w:pPr>
            <w:r w:rsidRPr="003A47A1">
              <w:rPr>
                <w:rFonts w:asciiTheme="majorHAnsi" w:eastAsia="Yu Mincho" w:hAnsiTheme="majorHAnsi"/>
                <w:iCs/>
                <w:lang w:eastAsia="ja-JP"/>
              </w:rPr>
              <w:t xml:space="preserve">The successful rate for the correct prediction, </w:t>
            </w:r>
          </w:p>
          <w:p w14:paraId="3A596154" w14:textId="77777777" w:rsidR="00A50502" w:rsidRPr="003A47A1" w:rsidRDefault="00A50502" w:rsidP="00420833">
            <w:pPr>
              <w:pStyle w:val="ab"/>
              <w:numPr>
                <w:ilvl w:val="1"/>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 xml:space="preserve">The correct prediction is considered as maximum ground-truth RSRP among top-K predicted beams larger than or equal to the ground-truth RSRP of the strongest genie-aided beam(s) – x dB, </w:t>
            </w:r>
          </w:p>
          <w:p w14:paraId="11F796BB" w14:textId="77777777" w:rsidR="00A50502" w:rsidRPr="003A47A1" w:rsidRDefault="00A50502" w:rsidP="00420833">
            <w:pPr>
              <w:pStyle w:val="ab"/>
              <w:numPr>
                <w:ilvl w:val="1"/>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FFS on top-N (N&lt;/=K) predicted beams have to be considered in the success rate evaluation</w:t>
            </w:r>
          </w:p>
          <w:p w14:paraId="625E34C9" w14:textId="77777777" w:rsidR="00A50502" w:rsidRPr="003A47A1" w:rsidRDefault="00A50502" w:rsidP="00420833">
            <w:pPr>
              <w:pStyle w:val="ab"/>
              <w:numPr>
                <w:ilvl w:val="2"/>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FFS on N values</w:t>
            </w:r>
          </w:p>
          <w:p w14:paraId="531BED58" w14:textId="77777777" w:rsidR="00A50502" w:rsidRPr="003A47A1" w:rsidRDefault="00A50502" w:rsidP="00420833">
            <w:pPr>
              <w:pStyle w:val="ab"/>
              <w:numPr>
                <w:ilvl w:val="1"/>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FFS on x values</w:t>
            </w:r>
          </w:p>
          <w:p w14:paraId="716D1924" w14:textId="77777777" w:rsidR="00A50502" w:rsidRPr="00CA1F3A" w:rsidRDefault="00A50502" w:rsidP="007E215B">
            <w:pPr>
              <w:spacing w:after="120"/>
              <w:rPr>
                <w:rFonts w:asciiTheme="majorHAnsi" w:eastAsia="Yu Mincho" w:hAnsiTheme="majorHAnsi"/>
                <w:lang w:eastAsia="ja-JP"/>
              </w:rPr>
            </w:pPr>
            <w:r w:rsidRPr="003A47A1">
              <w:rPr>
                <w:rFonts w:asciiTheme="majorHAnsi" w:eastAsia="Yu Mincho" w:hAnsiTheme="majorHAnsi"/>
                <w:iCs/>
                <w:lang w:eastAsia="ja-JP"/>
              </w:rPr>
              <w:t>Note: if x=0 and N=1, it means Top-K/1 (%</w:t>
            </w:r>
            <w:proofErr w:type="gramStart"/>
            <w:r w:rsidRPr="003A47A1">
              <w:rPr>
                <w:rFonts w:asciiTheme="majorHAnsi" w:eastAsia="Yu Mincho" w:hAnsiTheme="majorHAnsi"/>
                <w:iCs/>
                <w:lang w:eastAsia="ja-JP"/>
              </w:rPr>
              <w:t>) :</w:t>
            </w:r>
            <w:proofErr w:type="gramEnd"/>
            <w:r w:rsidRPr="003A47A1">
              <w:rPr>
                <w:rFonts w:asciiTheme="majorHAnsi" w:eastAsia="Yu Mincho" w:hAnsiTheme="majorHAnsi"/>
                <w:iCs/>
                <w:lang w:eastAsia="ja-JP"/>
              </w:rPr>
              <w:t xml:space="preserve"> the percentage of "the Top-1 strongest beam is one of the Top-K predicted beams"</w:t>
            </w:r>
          </w:p>
        </w:tc>
      </w:tr>
    </w:tbl>
    <w:p w14:paraId="692D5894" w14:textId="77777777" w:rsidR="00A50502" w:rsidRPr="003A47A1" w:rsidRDefault="00A50502" w:rsidP="00A50502">
      <w:pPr>
        <w:pStyle w:val="a3"/>
        <w:spacing w:beforeLines="100" w:before="240" w:after="120" w:line="240" w:lineRule="auto"/>
        <w:rPr>
          <w:rFonts w:asciiTheme="majorHAnsi" w:hAnsiTheme="majorHAnsi" w:cstheme="majorHAnsi"/>
          <w:sz w:val="21"/>
          <w:szCs w:val="21"/>
        </w:rPr>
      </w:pPr>
      <w:r>
        <w:rPr>
          <w:rFonts w:asciiTheme="majorHAnsi" w:hAnsiTheme="majorHAnsi" w:cstheme="majorHAnsi"/>
          <w:sz w:val="21"/>
          <w:szCs w:val="21"/>
        </w:rPr>
        <w:t xml:space="preserve">In last meeting, </w:t>
      </w:r>
      <w:r w:rsidRPr="003A47A1">
        <w:rPr>
          <w:rFonts w:asciiTheme="majorHAnsi" w:hAnsiTheme="majorHAnsi" w:cstheme="majorHAnsi"/>
          <w:sz w:val="21"/>
          <w:szCs w:val="21"/>
        </w:rPr>
        <w:t xml:space="preserve">Top-M/K is also agreed as </w:t>
      </w:r>
      <w:r>
        <w:rPr>
          <w:rFonts w:asciiTheme="majorHAnsi" w:hAnsiTheme="majorHAnsi" w:cstheme="majorHAnsi"/>
          <w:sz w:val="21"/>
          <w:szCs w:val="21"/>
        </w:rPr>
        <w:t>KPI</w:t>
      </w:r>
      <w:r w:rsidRPr="003A47A1">
        <w:rPr>
          <w:rFonts w:asciiTheme="majorHAnsi" w:hAnsiTheme="majorHAnsi" w:cstheme="majorHAnsi"/>
          <w:sz w:val="21"/>
          <w:szCs w:val="21"/>
        </w:rPr>
        <w:t xml:space="preserve"> for UE-assisted performance monitoring</w:t>
      </w:r>
      <w:r>
        <w:rPr>
          <w:rFonts w:asciiTheme="majorHAnsi" w:hAnsiTheme="majorHAnsi" w:cstheme="majorHAnsi"/>
          <w:sz w:val="21"/>
          <w:szCs w:val="21"/>
        </w:rPr>
        <w:t xml:space="preserve"> in RAN1</w:t>
      </w:r>
      <w:r w:rsidRPr="003A47A1">
        <w:rPr>
          <w:rFonts w:asciiTheme="majorHAnsi" w:hAnsiTheme="majorHAnsi" w:cstheme="majorHAnsi"/>
          <w:sz w:val="21"/>
          <w:szCs w:val="21"/>
        </w:rPr>
        <w:t>, which is shown as below:</w:t>
      </w:r>
    </w:p>
    <w:tbl>
      <w:tblPr>
        <w:tblStyle w:val="ad"/>
        <w:tblW w:w="0" w:type="auto"/>
        <w:tblLook w:val="04A0" w:firstRow="1" w:lastRow="0" w:firstColumn="1" w:lastColumn="0" w:noHBand="0" w:noVBand="1"/>
      </w:tblPr>
      <w:tblGrid>
        <w:gridCol w:w="9628"/>
      </w:tblGrid>
      <w:tr w:rsidR="00A50502" w:rsidRPr="003A47A1" w14:paraId="0E2B340E" w14:textId="77777777" w:rsidTr="007E215B">
        <w:tc>
          <w:tcPr>
            <w:tcW w:w="9628" w:type="dxa"/>
          </w:tcPr>
          <w:p w14:paraId="0BAC175D" w14:textId="77777777" w:rsidR="00A50502" w:rsidRPr="003A47A1" w:rsidRDefault="00A50502" w:rsidP="007E215B">
            <w:pPr>
              <w:spacing w:after="120"/>
              <w:rPr>
                <w:rFonts w:asciiTheme="majorHAnsi" w:eastAsia="等线" w:hAnsiTheme="majorHAnsi"/>
                <w:sz w:val="21"/>
                <w:highlight w:val="green"/>
              </w:rPr>
            </w:pPr>
            <w:r w:rsidRPr="003A47A1">
              <w:rPr>
                <w:rFonts w:asciiTheme="majorHAnsi" w:eastAsia="等线" w:hAnsiTheme="majorHAnsi"/>
                <w:sz w:val="21"/>
                <w:highlight w:val="green"/>
              </w:rPr>
              <w:t>RAN1#120b Agreement</w:t>
            </w:r>
          </w:p>
          <w:p w14:paraId="6408F172" w14:textId="77777777" w:rsidR="00A50502" w:rsidRPr="003A47A1" w:rsidRDefault="00A50502" w:rsidP="007E215B">
            <w:pPr>
              <w:tabs>
                <w:tab w:val="left" w:pos="720"/>
                <w:tab w:val="left" w:pos="1440"/>
              </w:tabs>
              <w:spacing w:after="120"/>
              <w:textAlignment w:val="center"/>
              <w:rPr>
                <w:rFonts w:asciiTheme="majorHAnsi" w:hAnsiTheme="majorHAnsi"/>
                <w:sz w:val="21"/>
              </w:rPr>
            </w:pPr>
            <w:r w:rsidRPr="003A47A1">
              <w:rPr>
                <w:rFonts w:asciiTheme="majorHAnsi" w:hAnsiTheme="majorHAnsi"/>
                <w:sz w:val="21"/>
              </w:rPr>
              <w:t>For UE-sided AI/ML model for beam management, for Option 2 (UE-assisted performance monitoring), the performance metric of Top 1 or Top K beam prediction accuracy is defined as:</w:t>
            </w:r>
          </w:p>
          <w:p w14:paraId="46239820" w14:textId="77777777" w:rsidR="00A50502" w:rsidRPr="003A47A1" w:rsidRDefault="00A50502" w:rsidP="00420833">
            <w:pPr>
              <w:pStyle w:val="ab"/>
              <w:numPr>
                <w:ilvl w:val="0"/>
                <w:numId w:val="10"/>
              </w:numPr>
              <w:overflowPunct w:val="0"/>
              <w:autoSpaceDE w:val="0"/>
              <w:autoSpaceDN w:val="0"/>
              <w:adjustRightInd w:val="0"/>
              <w:spacing w:after="120"/>
              <w:ind w:firstLineChars="0"/>
              <w:contextualSpacing/>
              <w:textAlignment w:val="baseline"/>
              <w:rPr>
                <w:rFonts w:asciiTheme="majorHAnsi" w:hAnsiTheme="majorHAnsi"/>
                <w:sz w:val="21"/>
              </w:rPr>
            </w:pPr>
            <w:r w:rsidRPr="003A47A1">
              <w:rPr>
                <w:rFonts w:asciiTheme="majorHAnsi" w:hAnsiTheme="majorHAnsi"/>
                <w:sz w:val="21"/>
              </w:rPr>
              <w:t xml:space="preserve">At least one of the Top M </w:t>
            </w:r>
            <w:proofErr w:type="gramStart"/>
            <w:r w:rsidRPr="003A47A1">
              <w:rPr>
                <w:rFonts w:asciiTheme="majorHAnsi" w:hAnsiTheme="majorHAnsi"/>
                <w:sz w:val="21"/>
              </w:rPr>
              <w:t>beam</w:t>
            </w:r>
            <w:proofErr w:type="gramEnd"/>
            <w:r w:rsidRPr="003A47A1">
              <w:rPr>
                <w:rFonts w:asciiTheme="majorHAnsi" w:hAnsiTheme="majorHAnsi"/>
                <w:sz w:val="21"/>
              </w:rPr>
              <w:t>(s) of the resource set(s) for monitoring is among Top-K predicted beam(s) of Set A</w:t>
            </w:r>
            <w:r w:rsidRPr="003A47A1">
              <w:rPr>
                <w:rFonts w:asciiTheme="majorHAnsi" w:eastAsia="等线" w:hAnsiTheme="majorHAnsi"/>
                <w:sz w:val="21"/>
              </w:rPr>
              <w:t xml:space="preserve"> (e.g., linked to at least one of the </w:t>
            </w:r>
            <w:r w:rsidRPr="003A47A1">
              <w:rPr>
                <w:rFonts w:asciiTheme="majorHAnsi" w:hAnsiTheme="majorHAnsi"/>
                <w:sz w:val="21"/>
              </w:rPr>
              <w:t>Top-K predicted beam(s) of Set A</w:t>
            </w:r>
            <w:r w:rsidRPr="003A47A1">
              <w:rPr>
                <w:rFonts w:asciiTheme="majorHAnsi" w:eastAsia="等线" w:hAnsiTheme="majorHAnsi"/>
                <w:sz w:val="21"/>
              </w:rPr>
              <w:t xml:space="preserve"> based on certain rule or </w:t>
            </w:r>
            <w:proofErr w:type="spellStart"/>
            <w:r w:rsidRPr="003A47A1">
              <w:rPr>
                <w:rFonts w:asciiTheme="majorHAnsi" w:eastAsia="等线" w:hAnsiTheme="majorHAnsi"/>
                <w:sz w:val="21"/>
              </w:rPr>
              <w:t>signalling</w:t>
            </w:r>
            <w:proofErr w:type="spellEnd"/>
            <w:r w:rsidRPr="003A47A1">
              <w:rPr>
                <w:rFonts w:asciiTheme="majorHAnsi" w:eastAsia="等线" w:hAnsiTheme="majorHAnsi"/>
                <w:sz w:val="21"/>
              </w:rPr>
              <w:t>)</w:t>
            </w:r>
          </w:p>
          <w:p w14:paraId="5E8FEB2D"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 xml:space="preserve">Where K is the number of predicted beam(s) in the corresponding inference report </w:t>
            </w:r>
            <w:r w:rsidRPr="003A47A1">
              <w:rPr>
                <w:rFonts w:asciiTheme="majorHAnsi" w:eastAsia="等线" w:hAnsiTheme="majorHAnsi"/>
                <w:sz w:val="21"/>
              </w:rPr>
              <w:t>per time instance</w:t>
            </w:r>
          </w:p>
          <w:p w14:paraId="523DF83C"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Where Top M beam(s) is the best M beam(s) based on L1-RSRP measurements of the resource set(s) for monitoring</w:t>
            </w:r>
          </w:p>
          <w:p w14:paraId="2E68FC4D"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M is configured by NW in CSI report configuration for monitoring</w:t>
            </w:r>
          </w:p>
          <w:p w14:paraId="0CA3DC09" w14:textId="77777777" w:rsidR="00A50502" w:rsidRPr="003A47A1" w:rsidRDefault="00A50502" w:rsidP="00420833">
            <w:pPr>
              <w:pStyle w:val="ab"/>
              <w:numPr>
                <w:ilvl w:val="2"/>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M= 1, 2</w:t>
            </w:r>
          </w:p>
          <w:p w14:paraId="053CF261"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eastAsia="等线" w:hAnsiTheme="majorHAnsi"/>
                <w:sz w:val="21"/>
              </w:rPr>
              <w:t xml:space="preserve">FFS: detailed rule or </w:t>
            </w:r>
            <w:proofErr w:type="spellStart"/>
            <w:r w:rsidRPr="003A47A1">
              <w:rPr>
                <w:rFonts w:asciiTheme="majorHAnsi" w:eastAsia="等线" w:hAnsiTheme="majorHAnsi"/>
                <w:sz w:val="21"/>
              </w:rPr>
              <w:t>signalling</w:t>
            </w:r>
            <w:proofErr w:type="spellEnd"/>
          </w:p>
        </w:tc>
      </w:tr>
    </w:tbl>
    <w:p w14:paraId="2A78B522" w14:textId="77777777" w:rsidR="00A50502" w:rsidRPr="003A47A1" w:rsidRDefault="00A50502" w:rsidP="00A50502">
      <w:pPr>
        <w:pStyle w:val="a3"/>
        <w:spacing w:after="120" w:line="240" w:lineRule="auto"/>
        <w:rPr>
          <w:rFonts w:asciiTheme="majorHAnsi" w:hAnsiTheme="majorHAnsi" w:cstheme="majorHAnsi"/>
          <w:b/>
          <w:bCs/>
          <w:lang w:val="en-GB"/>
        </w:rPr>
      </w:pPr>
    </w:p>
    <w:p w14:paraId="73C9AE18" w14:textId="77777777" w:rsidR="00A50502" w:rsidRPr="003A47A1" w:rsidRDefault="00A50502" w:rsidP="00A50502">
      <w:pPr>
        <w:spacing w:afterLines="100" w:after="240"/>
        <w:textAlignment w:val="center"/>
        <w:rPr>
          <w:rFonts w:asciiTheme="majorHAnsi" w:hAnsiTheme="majorHAnsi"/>
          <w:szCs w:val="20"/>
          <w:highlight w:val="yellow"/>
        </w:rPr>
      </w:pPr>
      <w:bookmarkStart w:id="2" w:name="OLE_LINK32"/>
      <w:r w:rsidRPr="003A47A1">
        <w:rPr>
          <w:rFonts w:asciiTheme="majorHAnsi" w:hAnsiTheme="majorHAnsi"/>
          <w:b/>
          <w:bCs/>
          <w:lang w:val="en-GB"/>
        </w:rPr>
        <w:lastRenderedPageBreak/>
        <w:t xml:space="preserve">Observation </w:t>
      </w:r>
      <w:r>
        <w:rPr>
          <w:rFonts w:asciiTheme="majorHAnsi" w:hAnsiTheme="majorHAnsi"/>
          <w:b/>
          <w:bCs/>
          <w:lang w:val="en-GB"/>
        </w:rPr>
        <w:t>1</w:t>
      </w:r>
      <w:r w:rsidRPr="003A47A1">
        <w:rPr>
          <w:rFonts w:asciiTheme="majorHAnsi" w:hAnsiTheme="majorHAnsi"/>
          <w:b/>
          <w:bCs/>
          <w:lang w:val="en-GB"/>
        </w:rPr>
        <w:t xml:space="preserve">: The similar metric Top-K/M is agreed in RAN1 performance monitoring, where </w:t>
      </w:r>
      <w:r w:rsidRPr="003A47A1">
        <w:rPr>
          <w:rFonts w:asciiTheme="majorHAnsi" w:hAnsiTheme="majorHAnsi"/>
          <w:b/>
          <w:bCs/>
          <w:szCs w:val="20"/>
        </w:rPr>
        <w:t xml:space="preserve">at least one of the Top M </w:t>
      </w:r>
      <w:proofErr w:type="gramStart"/>
      <w:r w:rsidRPr="003A47A1">
        <w:rPr>
          <w:rFonts w:asciiTheme="majorHAnsi" w:hAnsiTheme="majorHAnsi"/>
          <w:b/>
          <w:bCs/>
          <w:szCs w:val="20"/>
        </w:rPr>
        <w:t>beam</w:t>
      </w:r>
      <w:proofErr w:type="gramEnd"/>
      <w:r w:rsidRPr="003A47A1">
        <w:rPr>
          <w:rFonts w:asciiTheme="majorHAnsi" w:hAnsiTheme="majorHAnsi"/>
          <w:b/>
          <w:bCs/>
          <w:szCs w:val="20"/>
        </w:rPr>
        <w:t>(s) of the resource set(s) for monitoring is among Top-K predicted beam(s).</w:t>
      </w:r>
    </w:p>
    <w:bookmarkEnd w:id="2"/>
    <w:p w14:paraId="1B28B945" w14:textId="77777777" w:rsidR="00A50502" w:rsidRPr="00537A07" w:rsidRDefault="00A50502" w:rsidP="00A50502">
      <w:pPr>
        <w:pStyle w:val="a3"/>
        <w:spacing w:after="120" w:line="240" w:lineRule="auto"/>
        <w:rPr>
          <w:rFonts w:asciiTheme="majorHAnsi" w:hAnsiTheme="majorHAnsi" w:cstheme="majorHAnsi"/>
          <w:sz w:val="21"/>
          <w:szCs w:val="21"/>
          <w:u w:val="single"/>
        </w:rPr>
      </w:pPr>
      <w:r w:rsidRPr="00537A07">
        <w:rPr>
          <w:rFonts w:asciiTheme="majorHAnsi" w:hAnsiTheme="majorHAnsi" w:cstheme="majorHAnsi"/>
          <w:sz w:val="21"/>
          <w:szCs w:val="21"/>
          <w:u w:val="single"/>
        </w:rPr>
        <w:t>Value of X:</w:t>
      </w:r>
    </w:p>
    <w:p w14:paraId="04584AEF" w14:textId="77777777" w:rsidR="00A50502" w:rsidRDefault="00A50502" w:rsidP="00420833">
      <w:pPr>
        <w:pStyle w:val="a3"/>
        <w:numPr>
          <w:ilvl w:val="0"/>
          <w:numId w:val="16"/>
        </w:numPr>
        <w:spacing w:after="120" w:line="240" w:lineRule="auto"/>
        <w:rPr>
          <w:rFonts w:asciiTheme="majorHAnsi" w:hAnsiTheme="majorHAnsi" w:cstheme="majorHAnsi"/>
          <w:sz w:val="21"/>
          <w:szCs w:val="21"/>
        </w:rPr>
      </w:pPr>
      <w:r>
        <w:rPr>
          <w:rFonts w:asciiTheme="majorHAnsi" w:hAnsiTheme="majorHAnsi" w:cstheme="majorHAnsi"/>
          <w:sz w:val="21"/>
          <w:szCs w:val="21"/>
        </w:rPr>
        <w:t>When X = 0dB, it will be equal to original option 2, and will be aligned with RAN1 KPI for performance monitoring.</w:t>
      </w:r>
    </w:p>
    <w:p w14:paraId="4A3F7583" w14:textId="77777777" w:rsidR="00A50502" w:rsidRDefault="00A50502" w:rsidP="00420833">
      <w:pPr>
        <w:pStyle w:val="a3"/>
        <w:numPr>
          <w:ilvl w:val="0"/>
          <w:numId w:val="16"/>
        </w:numPr>
        <w:spacing w:after="120" w:line="240" w:lineRule="auto"/>
        <w:rPr>
          <w:rFonts w:asciiTheme="majorHAnsi" w:hAnsiTheme="majorHAnsi" w:cstheme="majorHAnsi"/>
          <w:sz w:val="21"/>
          <w:szCs w:val="21"/>
        </w:rPr>
      </w:pPr>
      <w:r>
        <w:rPr>
          <w:rFonts w:asciiTheme="majorHAnsi" w:hAnsiTheme="majorHAnsi" w:cstheme="majorHAnsi"/>
          <w:sz w:val="21"/>
          <w:szCs w:val="21"/>
        </w:rPr>
        <w:t>When X = 1dB, it will be equal to original option 3.</w:t>
      </w:r>
    </w:p>
    <w:p w14:paraId="7F8BEF63" w14:textId="77777777" w:rsidR="00A50502" w:rsidRPr="00537A07" w:rsidRDefault="00A50502" w:rsidP="00A50502">
      <w:pPr>
        <w:pStyle w:val="a3"/>
        <w:spacing w:after="120" w:line="240" w:lineRule="auto"/>
        <w:rPr>
          <w:rFonts w:asciiTheme="majorHAnsi" w:hAnsiTheme="majorHAnsi" w:cstheme="majorHAnsi"/>
        </w:rPr>
      </w:pPr>
      <w:r>
        <w:rPr>
          <w:rFonts w:asciiTheme="majorHAnsi" w:hAnsiTheme="majorHAnsi" w:cstheme="majorHAnsi"/>
          <w:sz w:val="21"/>
          <w:szCs w:val="21"/>
        </w:rPr>
        <w:t xml:space="preserve">We suggest to keep both options for X. </w:t>
      </w:r>
      <w:r w:rsidRPr="003A47A1">
        <w:rPr>
          <w:rFonts w:asciiTheme="majorHAnsi" w:hAnsiTheme="majorHAnsi" w:cstheme="majorHAnsi"/>
          <w:sz w:val="21"/>
          <w:szCs w:val="21"/>
        </w:rPr>
        <w:t xml:space="preserve">Then the above definition can include the original option 2 and option 3 together. </w:t>
      </w:r>
    </w:p>
    <w:p w14:paraId="366BB023" w14:textId="77777777" w:rsidR="00A50502" w:rsidRPr="00537A07" w:rsidRDefault="00A50502" w:rsidP="00A50502">
      <w:pPr>
        <w:pStyle w:val="a3"/>
        <w:spacing w:after="120" w:line="240" w:lineRule="auto"/>
        <w:rPr>
          <w:rFonts w:asciiTheme="majorHAnsi" w:hAnsiTheme="majorHAnsi" w:cstheme="majorHAnsi"/>
          <w:sz w:val="21"/>
          <w:szCs w:val="21"/>
          <w:u w:val="single"/>
        </w:rPr>
      </w:pPr>
      <w:r w:rsidRPr="00537A07">
        <w:rPr>
          <w:rFonts w:asciiTheme="majorHAnsi" w:hAnsiTheme="majorHAnsi" w:cstheme="majorHAnsi"/>
          <w:sz w:val="21"/>
          <w:szCs w:val="21"/>
          <w:u w:val="single"/>
        </w:rPr>
        <w:t xml:space="preserve">Value of </w:t>
      </w:r>
      <w:r>
        <w:rPr>
          <w:rFonts w:asciiTheme="majorHAnsi" w:hAnsiTheme="majorHAnsi" w:cstheme="majorHAnsi"/>
          <w:sz w:val="21"/>
          <w:szCs w:val="21"/>
          <w:u w:val="single"/>
        </w:rPr>
        <w:t>N</w:t>
      </w:r>
      <w:r w:rsidRPr="00537A07">
        <w:rPr>
          <w:rFonts w:asciiTheme="majorHAnsi" w:hAnsiTheme="majorHAnsi" w:cstheme="majorHAnsi"/>
          <w:sz w:val="21"/>
          <w:szCs w:val="21"/>
          <w:u w:val="single"/>
        </w:rPr>
        <w:t>:</w:t>
      </w:r>
    </w:p>
    <w:p w14:paraId="5C50FC44" w14:textId="77777777" w:rsidR="00A50502" w:rsidRDefault="00A50502" w:rsidP="00A50502">
      <w:pPr>
        <w:pStyle w:val="a3"/>
        <w:spacing w:after="120" w:line="240" w:lineRule="auto"/>
        <w:rPr>
          <w:rFonts w:asciiTheme="majorHAnsi" w:hAnsiTheme="majorHAnsi" w:cstheme="majorHAnsi"/>
        </w:rPr>
      </w:pPr>
      <w:r w:rsidRPr="003A47A1">
        <w:rPr>
          <w:rFonts w:asciiTheme="majorHAnsi" w:hAnsiTheme="majorHAnsi" w:cstheme="majorHAnsi"/>
        </w:rPr>
        <w:t>From our simulation results with agreed simulation assumption</w:t>
      </w:r>
      <w:r>
        <w:rPr>
          <w:rFonts w:asciiTheme="majorHAnsi" w:hAnsiTheme="majorHAnsi" w:cstheme="majorHAnsi"/>
        </w:rPr>
        <w:t>, we observe that:</w:t>
      </w:r>
    </w:p>
    <w:p w14:paraId="29EA9678" w14:textId="77777777" w:rsidR="00A50502" w:rsidRDefault="00A50502" w:rsidP="00420833">
      <w:pPr>
        <w:pStyle w:val="a3"/>
        <w:numPr>
          <w:ilvl w:val="0"/>
          <w:numId w:val="15"/>
        </w:numPr>
        <w:spacing w:after="120" w:line="240" w:lineRule="auto"/>
        <w:rPr>
          <w:rFonts w:asciiTheme="majorHAnsi" w:hAnsiTheme="majorHAnsi" w:cstheme="majorHAnsi"/>
          <w:sz w:val="21"/>
          <w:szCs w:val="21"/>
        </w:rPr>
      </w:pPr>
      <w:r>
        <w:rPr>
          <w:rFonts w:asciiTheme="majorHAnsi" w:hAnsiTheme="majorHAnsi" w:cstheme="majorHAnsi"/>
        </w:rPr>
        <w:t xml:space="preserve">When X = 0dB, </w:t>
      </w:r>
      <w:r>
        <w:rPr>
          <w:rFonts w:asciiTheme="majorHAnsi" w:hAnsiTheme="majorHAnsi" w:cstheme="majorHAnsi"/>
          <w:sz w:val="21"/>
          <w:szCs w:val="21"/>
        </w:rPr>
        <w:t xml:space="preserve">it will be equal to original option 2. Then N can be relaxed to be larger than 1. </w:t>
      </w:r>
      <w:r>
        <w:rPr>
          <w:rFonts w:asciiTheme="majorHAnsi" w:hAnsiTheme="majorHAnsi" w:cstheme="majorHAnsi"/>
        </w:rPr>
        <w:t>When</w:t>
      </w:r>
      <w:r w:rsidRPr="003A47A1">
        <w:rPr>
          <w:rFonts w:asciiTheme="majorHAnsi" w:hAnsiTheme="majorHAnsi" w:cstheme="majorHAnsi"/>
        </w:rPr>
        <w:t xml:space="preserve"> K is smaller than 4, we prefer that N=2. When K=4, </w:t>
      </w:r>
      <w:r>
        <w:rPr>
          <w:rFonts w:asciiTheme="majorHAnsi" w:hAnsiTheme="majorHAnsi" w:cstheme="majorHAnsi"/>
        </w:rPr>
        <w:t>N can be 1 or 2</w:t>
      </w:r>
      <w:r w:rsidRPr="003A47A1">
        <w:rPr>
          <w:rFonts w:asciiTheme="majorHAnsi" w:hAnsiTheme="majorHAnsi" w:cstheme="majorHAnsi"/>
        </w:rPr>
        <w:t>.</w:t>
      </w:r>
    </w:p>
    <w:p w14:paraId="279B444D" w14:textId="77777777" w:rsidR="00A50502" w:rsidRDefault="00A50502" w:rsidP="00420833">
      <w:pPr>
        <w:pStyle w:val="a3"/>
        <w:numPr>
          <w:ilvl w:val="0"/>
          <w:numId w:val="15"/>
        </w:numPr>
        <w:spacing w:after="120" w:line="240" w:lineRule="auto"/>
        <w:rPr>
          <w:rFonts w:asciiTheme="majorHAnsi" w:hAnsiTheme="majorHAnsi" w:cstheme="majorHAnsi"/>
        </w:rPr>
      </w:pPr>
      <w:r>
        <w:rPr>
          <w:rFonts w:asciiTheme="majorHAnsi" w:hAnsiTheme="majorHAnsi" w:cstheme="majorHAnsi"/>
        </w:rPr>
        <w:t>When X = 1dB, N = 1.</w:t>
      </w:r>
    </w:p>
    <w:p w14:paraId="0A97F520" w14:textId="77777777" w:rsidR="00A50502" w:rsidRDefault="00A50502" w:rsidP="00A50502">
      <w:pPr>
        <w:pStyle w:val="a3"/>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r>
        <w:rPr>
          <w:rFonts w:asciiTheme="majorHAnsi" w:hAnsiTheme="majorHAnsi" w:cstheme="majorHAnsi"/>
          <w:b/>
          <w:bCs/>
        </w:rPr>
        <w:t>In order to align with RAN1, Beam index prediction definition should include both original option 2 and option 3:</w:t>
      </w:r>
    </w:p>
    <w:p w14:paraId="02A3741E" w14:textId="77777777" w:rsidR="00A50502" w:rsidRDefault="00A50502" w:rsidP="00420833">
      <w:pPr>
        <w:pStyle w:val="a3"/>
        <w:numPr>
          <w:ilvl w:val="0"/>
          <w:numId w:val="14"/>
        </w:numPr>
        <w:spacing w:after="120" w:line="240" w:lineRule="auto"/>
        <w:rPr>
          <w:rFonts w:asciiTheme="majorHAnsi" w:hAnsiTheme="majorHAnsi" w:cstheme="majorHAnsi"/>
          <w:b/>
          <w:bCs/>
        </w:rPr>
      </w:pPr>
      <w:r>
        <w:rPr>
          <w:rFonts w:asciiTheme="majorHAnsi" w:hAnsiTheme="majorHAnsi" w:cstheme="majorHAnsi"/>
          <w:b/>
          <w:bCs/>
        </w:rPr>
        <w:t>For X value: keep both X = 0 and X=1dB.</w:t>
      </w:r>
    </w:p>
    <w:p w14:paraId="53AA4BCF" w14:textId="77777777" w:rsidR="00A50502" w:rsidRDefault="00A50502" w:rsidP="00420833">
      <w:pPr>
        <w:pStyle w:val="a3"/>
        <w:numPr>
          <w:ilvl w:val="0"/>
          <w:numId w:val="14"/>
        </w:numPr>
        <w:spacing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472B24C9" w14:textId="77777777" w:rsidR="00A50502" w:rsidRDefault="00A50502" w:rsidP="00420833">
      <w:pPr>
        <w:pStyle w:val="a3"/>
        <w:numPr>
          <w:ilvl w:val="1"/>
          <w:numId w:val="14"/>
        </w:numPr>
        <w:spacing w:after="120" w:line="240" w:lineRule="auto"/>
        <w:rPr>
          <w:rFonts w:asciiTheme="majorHAnsi" w:hAnsiTheme="majorHAnsi" w:cstheme="majorHAnsi"/>
          <w:b/>
          <w:bCs/>
        </w:rPr>
      </w:pPr>
      <w:r>
        <w:rPr>
          <w:rFonts w:asciiTheme="majorHAnsi" w:hAnsiTheme="majorHAnsi" w:cstheme="majorHAnsi"/>
          <w:b/>
          <w:bCs/>
        </w:rPr>
        <w:t>When X = 1 dB, N = 1.</w:t>
      </w:r>
    </w:p>
    <w:p w14:paraId="5D2F02AB" w14:textId="77777777" w:rsidR="00A50502" w:rsidRPr="006A33BE" w:rsidRDefault="00A50502" w:rsidP="00420833">
      <w:pPr>
        <w:pStyle w:val="a3"/>
        <w:numPr>
          <w:ilvl w:val="1"/>
          <w:numId w:val="14"/>
        </w:numPr>
        <w:spacing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6F86372E" w14:textId="77777777"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2.1.2 RSRP absolute accuracy</w:t>
      </w:r>
    </w:p>
    <w:p w14:paraId="0AFFD07B"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 xml:space="preserve">In last meeting, it’s agreed that absolute RSRP accuracy will applied for Top-1 predicted beams and it’s FFS whether can be apply for other beams. </w:t>
      </w:r>
    </w:p>
    <w:tbl>
      <w:tblPr>
        <w:tblStyle w:val="ad"/>
        <w:tblW w:w="0" w:type="auto"/>
        <w:tblLook w:val="04A0" w:firstRow="1" w:lastRow="0" w:firstColumn="1" w:lastColumn="0" w:noHBand="0" w:noVBand="1"/>
      </w:tblPr>
      <w:tblGrid>
        <w:gridCol w:w="9628"/>
      </w:tblGrid>
      <w:tr w:rsidR="00A50502" w:rsidRPr="003A47A1" w14:paraId="54111947" w14:textId="77777777" w:rsidTr="007E215B">
        <w:tc>
          <w:tcPr>
            <w:tcW w:w="9628" w:type="dxa"/>
          </w:tcPr>
          <w:p w14:paraId="12EDC066" w14:textId="77777777" w:rsidR="00A50502" w:rsidRPr="003A47A1" w:rsidRDefault="00A50502" w:rsidP="007E215B">
            <w:pPr>
              <w:spacing w:after="120"/>
              <w:rPr>
                <w:rFonts w:asciiTheme="majorHAnsi" w:hAnsiTheme="majorHAnsi"/>
                <w:b/>
                <w:u w:val="single"/>
                <w:lang w:eastAsia="ko-KR"/>
              </w:rPr>
            </w:pPr>
            <w:r w:rsidRPr="003A47A1">
              <w:rPr>
                <w:rFonts w:asciiTheme="majorHAnsi" w:hAnsiTheme="majorHAnsi"/>
                <w:b/>
                <w:u w:val="single"/>
                <w:lang w:eastAsia="ko-KR"/>
              </w:rPr>
              <w:t xml:space="preserve">Issue 2-2: </w:t>
            </w:r>
            <w:r w:rsidRPr="003A47A1">
              <w:rPr>
                <w:rFonts w:asciiTheme="majorHAnsi" w:eastAsia="Yu Mincho" w:hAnsiTheme="majorHAnsi"/>
                <w:b/>
                <w:u w:val="single"/>
                <w:lang w:eastAsia="ja-JP"/>
              </w:rPr>
              <w:t>Absolute RSRP accuracy</w:t>
            </w:r>
            <w:r w:rsidRPr="003A47A1">
              <w:rPr>
                <w:rFonts w:asciiTheme="majorHAnsi" w:hAnsiTheme="majorHAnsi"/>
                <w:b/>
                <w:u w:val="single"/>
                <w:lang w:eastAsia="ko-KR"/>
              </w:rPr>
              <w:t xml:space="preserve"> </w:t>
            </w:r>
          </w:p>
          <w:p w14:paraId="45FAC7FF" w14:textId="77777777" w:rsidR="00A50502" w:rsidRPr="003A47A1" w:rsidRDefault="00A50502" w:rsidP="007E215B">
            <w:pPr>
              <w:spacing w:after="120"/>
              <w:rPr>
                <w:rFonts w:asciiTheme="majorHAnsi" w:hAnsiTheme="majorHAnsi"/>
                <w:iCs/>
              </w:rPr>
            </w:pPr>
            <w:r w:rsidRPr="003A47A1">
              <w:rPr>
                <w:rFonts w:asciiTheme="majorHAnsi" w:hAnsiTheme="majorHAnsi"/>
                <w:iCs/>
              </w:rPr>
              <w:t>Agreement:</w:t>
            </w:r>
          </w:p>
          <w:p w14:paraId="40D74B4B" w14:textId="77777777" w:rsidR="00A50502" w:rsidRPr="003A47A1" w:rsidRDefault="00A50502" w:rsidP="00420833">
            <w:pPr>
              <w:pStyle w:val="ab"/>
              <w:numPr>
                <w:ilvl w:val="0"/>
                <w:numId w:val="6"/>
              </w:numPr>
              <w:overflowPunct w:val="0"/>
              <w:autoSpaceDE w:val="0"/>
              <w:autoSpaceDN w:val="0"/>
              <w:adjustRightInd w:val="0"/>
              <w:spacing w:after="120"/>
              <w:ind w:firstLineChars="0"/>
              <w:textAlignment w:val="baseline"/>
              <w:rPr>
                <w:rFonts w:asciiTheme="majorHAnsi" w:hAnsiTheme="majorHAnsi"/>
                <w:iCs/>
              </w:rPr>
            </w:pPr>
            <w:r w:rsidRPr="003A47A1">
              <w:rPr>
                <w:rFonts w:asciiTheme="majorHAnsi" w:eastAsia="Yu Mincho" w:hAnsiTheme="majorHAnsi"/>
                <w:szCs w:val="24"/>
                <w:lang w:eastAsia="ja-JP"/>
              </w:rPr>
              <w:t>Absolute RSRP accuracy requirement applies to Top-1 of predicted beams at least</w:t>
            </w:r>
          </w:p>
          <w:p w14:paraId="1E7044EE" w14:textId="77777777" w:rsidR="00A50502" w:rsidRPr="003A47A1" w:rsidRDefault="00A50502" w:rsidP="00420833">
            <w:pPr>
              <w:pStyle w:val="ab"/>
              <w:numPr>
                <w:ilvl w:val="1"/>
                <w:numId w:val="6"/>
              </w:numPr>
              <w:overflowPunct w:val="0"/>
              <w:autoSpaceDE w:val="0"/>
              <w:autoSpaceDN w:val="0"/>
              <w:adjustRightInd w:val="0"/>
              <w:spacing w:after="120"/>
              <w:ind w:firstLineChars="0"/>
              <w:textAlignment w:val="baseline"/>
              <w:rPr>
                <w:rFonts w:asciiTheme="majorHAnsi" w:hAnsiTheme="majorHAnsi"/>
                <w:iCs/>
                <w:sz w:val="24"/>
                <w:szCs w:val="24"/>
              </w:rPr>
            </w:pPr>
            <w:r w:rsidRPr="003A47A1">
              <w:rPr>
                <w:rFonts w:asciiTheme="majorHAnsi" w:eastAsia="Yu Mincho" w:hAnsiTheme="majorHAnsi"/>
                <w:szCs w:val="24"/>
                <w:lang w:eastAsia="ja-JP"/>
              </w:rPr>
              <w:t>FFS whether to apply to other beams</w:t>
            </w:r>
          </w:p>
        </w:tc>
      </w:tr>
    </w:tbl>
    <w:p w14:paraId="2F03A930"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From RAN1 agreements in RAN1#120:</w:t>
      </w:r>
    </w:p>
    <w:tbl>
      <w:tblPr>
        <w:tblStyle w:val="ad"/>
        <w:tblW w:w="0" w:type="auto"/>
        <w:tblLook w:val="04A0" w:firstRow="1" w:lastRow="0" w:firstColumn="1" w:lastColumn="0" w:noHBand="0" w:noVBand="1"/>
      </w:tblPr>
      <w:tblGrid>
        <w:gridCol w:w="9628"/>
      </w:tblGrid>
      <w:tr w:rsidR="00A50502" w:rsidRPr="003A47A1" w14:paraId="129B6D07" w14:textId="77777777" w:rsidTr="007E215B">
        <w:tc>
          <w:tcPr>
            <w:tcW w:w="9628" w:type="dxa"/>
          </w:tcPr>
          <w:p w14:paraId="3A7E5B99" w14:textId="77777777" w:rsidR="00A50502" w:rsidRPr="003A47A1" w:rsidRDefault="00A50502" w:rsidP="007E215B">
            <w:pPr>
              <w:spacing w:after="120"/>
              <w:rPr>
                <w:rFonts w:asciiTheme="majorHAnsi" w:eastAsia="等线" w:hAnsiTheme="majorHAnsi"/>
                <w:highlight w:val="green"/>
              </w:rPr>
            </w:pPr>
            <w:r w:rsidRPr="003A47A1">
              <w:rPr>
                <w:rFonts w:asciiTheme="majorHAnsi" w:eastAsia="等线" w:hAnsiTheme="majorHAnsi"/>
                <w:highlight w:val="green"/>
              </w:rPr>
              <w:t>Agreement</w:t>
            </w:r>
          </w:p>
          <w:p w14:paraId="1C8CC929" w14:textId="77777777" w:rsidR="00A50502" w:rsidRPr="003A47A1" w:rsidRDefault="00A50502" w:rsidP="007E215B">
            <w:pPr>
              <w:spacing w:after="120"/>
              <w:rPr>
                <w:rFonts w:asciiTheme="majorHAnsi" w:hAnsiTheme="majorHAnsi"/>
              </w:rPr>
            </w:pPr>
            <w:r w:rsidRPr="003A47A1">
              <w:rPr>
                <w:rFonts w:asciiTheme="majorHAnsi" w:eastAsia="等线" w:hAnsiTheme="majorHAnsi"/>
              </w:rPr>
              <w:t>F</w:t>
            </w:r>
            <w:r w:rsidRPr="003A47A1">
              <w:rPr>
                <w:rFonts w:asciiTheme="majorHAnsi" w:eastAsia="Times New Roman" w:hAnsiTheme="majorHAnsi"/>
              </w:rPr>
              <w:t xml:space="preserve">or report content of inference results for UE-sided model, </w:t>
            </w:r>
            <w:r w:rsidRPr="003A47A1">
              <w:rPr>
                <w:rFonts w:asciiTheme="majorHAnsi" w:hAnsiTheme="majorHAnsi"/>
              </w:rPr>
              <w:t>where the largest RSRP value is quantized to a 7-bit value in the range [-140, -44] dBm with 1dB step size, and the differential RSRP is quantized to a 4-bit value with 2 dB step size.</w:t>
            </w:r>
          </w:p>
          <w:p w14:paraId="600DF5CC" w14:textId="77777777" w:rsidR="00A50502" w:rsidRPr="003A47A1" w:rsidRDefault="00A50502" w:rsidP="007E215B">
            <w:pPr>
              <w:pStyle w:val="a6"/>
              <w:spacing w:after="120"/>
              <w:ind w:firstLine="480"/>
              <w:jc w:val="both"/>
              <w:rPr>
                <w:rFonts w:asciiTheme="majorHAnsi" w:hAnsiTheme="majorHAnsi" w:cstheme="majorHAnsi"/>
                <w:b w:val="0"/>
                <w:bCs w:val="0"/>
                <w:lang w:eastAsia="zh-CN"/>
              </w:rPr>
            </w:pPr>
            <w:r w:rsidRPr="003A47A1">
              <w:rPr>
                <w:rFonts w:asciiTheme="majorHAnsi" w:hAnsiTheme="majorHAnsi" w:cstheme="majorHAnsi"/>
                <w:b w:val="0"/>
                <w:lang w:eastAsia="zh-CN"/>
              </w:rPr>
              <w:t xml:space="preserve">Note: the model output is UE implementation and it doesn’t have to be RSRP subject to dBm value. </w:t>
            </w:r>
          </w:p>
        </w:tc>
      </w:tr>
    </w:tbl>
    <w:p w14:paraId="6FB257D1"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p>
    <w:p w14:paraId="27DFE88F"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 xml:space="preserve">The reporting scheme is the same as legacy non-AI based beam reporting. </w:t>
      </w:r>
    </w:p>
    <w:p w14:paraId="53E984B3" w14:textId="77777777" w:rsidR="00A50502" w:rsidRPr="003A47A1" w:rsidRDefault="00A50502" w:rsidP="00A50502">
      <w:pPr>
        <w:pStyle w:val="a3"/>
        <w:spacing w:after="120"/>
        <w:rPr>
          <w:rFonts w:asciiTheme="majorHAnsi" w:hAnsiTheme="majorHAnsi" w:cstheme="majorHAnsi"/>
          <w:iCs/>
          <w:sz w:val="21"/>
          <w:szCs w:val="21"/>
        </w:rPr>
      </w:pPr>
      <w:r w:rsidRPr="003A47A1">
        <w:rPr>
          <w:rFonts w:asciiTheme="majorHAnsi" w:hAnsiTheme="majorHAnsi" w:cstheme="majorHAnsi"/>
          <w:iCs/>
          <w:sz w:val="21"/>
          <w:szCs w:val="21"/>
        </w:rPr>
        <w:t>For K &gt; 1 beams:</w:t>
      </w:r>
    </w:p>
    <w:p w14:paraId="40949D32"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t>1st-ranked beam: Reported as absolute quantized RSRP</w:t>
      </w:r>
    </w:p>
    <w:p w14:paraId="205F5CA9"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t>2nd-Kth beams: Reported as differential RSRP (4-bit resolution, 2dB step size) relative to the 1st-ranked beam</w:t>
      </w:r>
    </w:p>
    <w:p w14:paraId="05727C8A"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In legacy, absolute RSRP is defined for the largest RSRP and relative accuracy is defined for other differential RSRP in the report.</w:t>
      </w:r>
    </w:p>
    <w:p w14:paraId="14207601" w14:textId="15853427" w:rsidR="00A50502" w:rsidRPr="003A47A1" w:rsidRDefault="00A50502" w:rsidP="00A50502">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lastRenderedPageBreak/>
        <w:t>Observation</w:t>
      </w:r>
      <w:r>
        <w:rPr>
          <w:rFonts w:asciiTheme="majorHAnsi" w:hAnsiTheme="majorHAnsi" w:cstheme="majorHAnsi"/>
          <w:b/>
          <w:bCs/>
          <w:iCs/>
          <w:sz w:val="21"/>
          <w:szCs w:val="21"/>
        </w:rPr>
        <w:t xml:space="preserve"> </w:t>
      </w:r>
      <w:r w:rsidR="009914A4">
        <w:rPr>
          <w:rFonts w:asciiTheme="majorHAnsi" w:hAnsiTheme="majorHAnsi" w:cstheme="majorHAnsi"/>
          <w:b/>
          <w:bCs/>
          <w:iCs/>
          <w:sz w:val="21"/>
          <w:szCs w:val="21"/>
        </w:rPr>
        <w:t>2</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3C5BBCDC" w14:textId="77777777" w:rsidR="00A50502" w:rsidRPr="003A47A1" w:rsidRDefault="00A50502" w:rsidP="00A50502">
      <w:pPr>
        <w:spacing w:after="120"/>
        <w:rPr>
          <w:rFonts w:asciiTheme="majorHAnsi" w:hAnsiTheme="majorHAnsi"/>
          <w:u w:val="single"/>
        </w:rPr>
      </w:pPr>
      <w:r w:rsidRPr="003A47A1">
        <w:rPr>
          <w:rFonts w:asciiTheme="majorHAnsi" w:hAnsiTheme="majorHAnsi"/>
          <w:u w:val="single"/>
        </w:rPr>
        <w:t>Challenges for Non-Top-1 Beams</w:t>
      </w:r>
    </w:p>
    <w:p w14:paraId="26691C1D" w14:textId="77777777" w:rsidR="00A50502" w:rsidRPr="003A47A1" w:rsidRDefault="00A50502" w:rsidP="00A50502">
      <w:pPr>
        <w:spacing w:after="120"/>
        <w:rPr>
          <w:rFonts w:asciiTheme="majorHAnsi" w:hAnsiTheme="majorHAnsi"/>
        </w:rPr>
      </w:pPr>
      <w:r w:rsidRPr="003A47A1">
        <w:rPr>
          <w:rFonts w:asciiTheme="majorHAnsi" w:hAnsiTheme="majorHAnsi"/>
        </w:rPr>
        <w:t>Extending absolute accuracy to non-top-1 beams requires reconstructing their RSRP from differential values, introducing two critical issues:</w:t>
      </w:r>
    </w:p>
    <w:p w14:paraId="2968565C" w14:textId="77777777" w:rsidR="00A50502" w:rsidRPr="00F80175" w:rsidRDefault="00A50502" w:rsidP="00A50502">
      <w:pPr>
        <w:spacing w:after="120"/>
        <w:rPr>
          <w:rFonts w:asciiTheme="majorHAnsi" w:hAnsiTheme="majorHAnsi"/>
        </w:rPr>
      </w:pPr>
      <w:r w:rsidRPr="00F80175">
        <w:rPr>
          <w:rFonts w:asciiTheme="majorHAnsi" w:hAnsiTheme="majorHAnsi"/>
        </w:rPr>
        <w:t>1. Cumulative Quantization Errors:</w:t>
      </w:r>
    </w:p>
    <w:p w14:paraId="22C5C86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xml:space="preserve">UE reports predicted RSRP for Top-K beams with format: {A₁, </w:t>
      </w:r>
      <w:r w:rsidRPr="007A1775">
        <w:rPr>
          <w:rFonts w:asciiTheme="majorHAnsi" w:eastAsia="等线" w:hAnsiTheme="majorHAnsi"/>
          <w:szCs w:val="20"/>
        </w:rPr>
        <w:t>Δ</w:t>
      </w:r>
      <w:r w:rsidRPr="007A1775">
        <w:rPr>
          <w:rFonts w:asciiTheme="majorHAnsi" w:hAnsiTheme="majorHAnsi"/>
          <w:szCs w:val="20"/>
        </w:rPr>
        <w:t xml:space="preserve">B₁, </w:t>
      </w:r>
      <w:r w:rsidRPr="007A1775">
        <w:rPr>
          <w:rFonts w:asciiTheme="majorHAnsi" w:eastAsia="等线" w:hAnsiTheme="majorHAnsi"/>
          <w:szCs w:val="20"/>
        </w:rPr>
        <w:t>Δ</w:t>
      </w:r>
      <w:r w:rsidRPr="007A1775">
        <w:rPr>
          <w:rFonts w:asciiTheme="majorHAnsi" w:hAnsiTheme="majorHAnsi"/>
          <w:szCs w:val="20"/>
        </w:rPr>
        <w:t>C₁}</w:t>
      </w:r>
    </w:p>
    <w:p w14:paraId="18A543F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 A (predicted 1st): Absolute RSRP</w:t>
      </w:r>
    </w:p>
    <w:p w14:paraId="172C8DC8"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Beams B/C: Differential RSRP (ΔB₁/</w:t>
      </w:r>
      <w:r w:rsidRPr="007A1775">
        <w:rPr>
          <w:rFonts w:asciiTheme="majorHAnsi" w:eastAsia="等线" w:hAnsiTheme="majorHAnsi"/>
          <w:szCs w:val="20"/>
        </w:rPr>
        <w:t>Δ</w:t>
      </w:r>
      <w:r w:rsidRPr="007A1775">
        <w:rPr>
          <w:rFonts w:asciiTheme="majorHAnsi" w:hAnsiTheme="majorHAnsi"/>
          <w:szCs w:val="20"/>
        </w:rPr>
        <w:t>C₁)</w:t>
      </w:r>
    </w:p>
    <w:p w14:paraId="2347F698" w14:textId="77777777" w:rsidR="00A50502" w:rsidRPr="007A1775" w:rsidRDefault="00A50502" w:rsidP="00A50502">
      <w:pPr>
        <w:spacing w:afterLines="100" w:after="240"/>
        <w:rPr>
          <w:rFonts w:asciiTheme="majorHAnsi" w:hAnsiTheme="majorHAnsi"/>
          <w:szCs w:val="20"/>
        </w:rPr>
      </w:pPr>
      <w:r w:rsidRPr="007A1775">
        <w:rPr>
          <w:rFonts w:asciiTheme="majorHAnsi" w:hAnsiTheme="majorHAnsi"/>
          <w:szCs w:val="20"/>
        </w:rPr>
        <w:t>The reconstructed absolute RSRP for 2nd-Kth beams contains quantization uncertainty:</w:t>
      </w:r>
    </w:p>
    <w:p w14:paraId="1ACBDCE5" w14:textId="77777777" w:rsidR="00A50502" w:rsidRPr="007A1775" w:rsidRDefault="00A50502" w:rsidP="00A50502">
      <w:pPr>
        <w:spacing w:after="120"/>
        <w:rPr>
          <w:rFonts w:asciiTheme="majorHAnsi" w:hAnsiTheme="majorHAnsi"/>
          <w:szCs w:val="20"/>
        </w:rPr>
      </w:pPr>
      <m:oMathPara>
        <m:oMath>
          <m:sSubSup>
            <m:sSubSupPr>
              <m:ctrlPr>
                <w:rPr>
                  <w:rFonts w:ascii="Cambria Math" w:hAnsi="Cambria Math"/>
                  <w:i/>
                  <w:szCs w:val="20"/>
                </w:rPr>
              </m:ctrlPr>
            </m:sSubSupPr>
            <m:e>
              <m:acc>
                <m:accPr>
                  <m:ctrlPr>
                    <w:rPr>
                      <w:rFonts w:ascii="Cambria Math" w:hAnsi="Cambria Math"/>
                      <w:i/>
                      <w:iCs/>
                      <w:szCs w:val="20"/>
                    </w:rPr>
                  </m:ctrlPr>
                </m:accPr>
                <m:e>
                  <m:r>
                    <w:rPr>
                      <w:rFonts w:ascii="Cambria Math" w:hAnsi="Cambria Math"/>
                      <w:szCs w:val="20"/>
                    </w:rPr>
                    <m:t>R</m:t>
                  </m:r>
                </m:e>
              </m:acc>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A</m:t>
              </m:r>
            </m:sub>
            <m:sup>
              <m:r>
                <w:rPr>
                  <w:rFonts w:ascii="Cambria Math" w:hAnsi="Cambria Math"/>
                  <w:szCs w:val="20"/>
                </w:rPr>
                <m:t>pred</m:t>
              </m:r>
            </m:sup>
          </m:sSubSup>
          <m:r>
            <m:rPr>
              <m:sty m:val="p"/>
            </m:rPr>
            <w:rPr>
              <w:rFonts w:ascii="Cambria Math" w:hAnsi="Cambria Math"/>
              <w:szCs w:val="20"/>
            </w:rPr>
            <m:t>-Δ</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oMath>
      </m:oMathPara>
    </w:p>
    <w:p w14:paraId="19E5EF19" w14:textId="77777777" w:rsidR="00A50502" w:rsidRPr="007A1775" w:rsidRDefault="00A50502" w:rsidP="00A50502">
      <w:pPr>
        <w:spacing w:beforeLines="50" w:before="120" w:after="120"/>
        <w:rPr>
          <w:rFonts w:asciiTheme="majorHAnsi" w:hAnsiTheme="majorHAnsi"/>
          <w:szCs w:val="20"/>
        </w:rPr>
      </w:pPr>
      <w:r w:rsidRPr="007A1775">
        <w:rPr>
          <w:rFonts w:asciiTheme="majorHAnsi" w:hAnsiTheme="majorHAnsi"/>
          <w:szCs w:val="20"/>
        </w:rPr>
        <w:t xml:space="preserve">where </w:t>
      </w:r>
      <m:oMath>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2</m:t>
            </m:r>
          </m:den>
        </m:f>
        <m:r>
          <m:rPr>
            <m:sty m:val="p"/>
          </m:rPr>
          <w:rPr>
            <w:rFonts w:ascii="Cambria Math" w:hAnsi="Cambria Math"/>
            <w:szCs w:val="20"/>
          </w:rPr>
          <m:t>×</m:t>
        </m:r>
      </m:oMath>
      <w:r w:rsidRPr="007A1775">
        <w:rPr>
          <w:rFonts w:asciiTheme="majorHAnsi" w:hAnsiTheme="majorHAnsi"/>
          <w:szCs w:val="20"/>
        </w:rPr>
        <w:t>differential step size (1dB for 2dB step)</w:t>
      </w:r>
      <w:r>
        <w:rPr>
          <w:rFonts w:asciiTheme="majorHAnsi" w:hAnsiTheme="majorHAnsi"/>
          <w:szCs w:val="20"/>
        </w:rPr>
        <w:t xml:space="preserve">, </w:t>
      </w:r>
      <w:r w:rsidRPr="00844DEA">
        <w:rPr>
          <w:rFonts w:asciiTheme="majorHAnsi" w:hAnsiTheme="majorHAnsi"/>
          <w:szCs w:val="20"/>
        </w:rPr>
        <w:t>Consider</w:t>
      </w:r>
      <w:r>
        <w:rPr>
          <w:rFonts w:asciiTheme="majorHAnsi" w:hAnsiTheme="majorHAnsi"/>
          <w:szCs w:val="20"/>
        </w:rPr>
        <w:t>ing</w:t>
      </w:r>
      <w:r w:rsidRPr="00844DEA">
        <w:rPr>
          <w:rFonts w:asciiTheme="majorHAnsi" w:hAnsiTheme="majorHAnsi"/>
          <w:szCs w:val="20"/>
        </w:rPr>
        <w:t xml:space="preserve"> the quantization method with rounding off</w:t>
      </w:r>
      <w:r>
        <w:rPr>
          <w:rFonts w:asciiTheme="majorHAnsi" w:hAnsiTheme="majorHAnsi"/>
          <w:szCs w:val="20"/>
        </w:rPr>
        <w:t>.</w:t>
      </w:r>
    </w:p>
    <w:p w14:paraId="25124483" w14:textId="77777777" w:rsidR="00A50502" w:rsidRPr="00F80175" w:rsidRDefault="00A50502" w:rsidP="00A50502">
      <w:pPr>
        <w:spacing w:beforeLines="100" w:before="240" w:afterLines="100" w:after="240"/>
        <w:rPr>
          <w:rFonts w:asciiTheme="majorHAnsi" w:hAnsiTheme="majorHAnsi"/>
        </w:rPr>
      </w:pPr>
      <w:r w:rsidRPr="00F80175">
        <w:rPr>
          <w:rFonts w:asciiTheme="majorHAnsi" w:hAnsiTheme="majorHAnsi"/>
        </w:rPr>
        <w:t>2. Ranking Instability: Beam order changes between prediction and ground truth reports amplify inconsistencies.</w:t>
      </w:r>
    </w:p>
    <w:p w14:paraId="48DB126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These limitations lead to </w:t>
      </w:r>
      <w:r>
        <w:rPr>
          <w:rFonts w:asciiTheme="majorHAnsi" w:hAnsiTheme="majorHAnsi"/>
        </w:rPr>
        <w:t>two</w:t>
      </w:r>
      <w:r w:rsidRPr="003A47A1">
        <w:rPr>
          <w:rFonts w:asciiTheme="majorHAnsi" w:hAnsiTheme="majorHAnsi"/>
        </w:rPr>
        <w:t xml:space="preserve"> fundamental observations:</w:t>
      </w:r>
    </w:p>
    <w:p w14:paraId="175EF2AF" w14:textId="77777777" w:rsidR="00A50502" w:rsidRPr="00F80175" w:rsidRDefault="00A50502" w:rsidP="00A50502">
      <w:pPr>
        <w:spacing w:after="120"/>
        <w:rPr>
          <w:rFonts w:asciiTheme="majorHAnsi" w:hAnsiTheme="majorHAnsi"/>
        </w:rPr>
      </w:pPr>
      <w:r w:rsidRPr="00F80175">
        <w:rPr>
          <w:rFonts w:asciiTheme="majorHAnsi" w:hAnsiTheme="majorHAnsi"/>
        </w:rPr>
        <w:t>1. Error Propagation:</w:t>
      </w:r>
    </w:p>
    <w:p w14:paraId="3090EC8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Single-differential beams (e.g., 2nd-ranked): 1 dB uncertainty.</w:t>
      </w:r>
    </w:p>
    <w:p w14:paraId="42CFDA4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Twice-differential beams (e.g., 3rd-ranked): 2 dB uncertainty.</w:t>
      </w:r>
    </w:p>
    <w:p w14:paraId="3AF5B5B4" w14:textId="77777777" w:rsidR="00A50502" w:rsidRPr="00F80175" w:rsidRDefault="00A50502" w:rsidP="00A50502">
      <w:pPr>
        <w:spacing w:after="120"/>
        <w:rPr>
          <w:rFonts w:asciiTheme="majorHAnsi" w:hAnsiTheme="majorHAnsi"/>
        </w:rPr>
      </w:pPr>
      <w:r w:rsidRPr="00F80175">
        <w:rPr>
          <w:rFonts w:asciiTheme="majorHAnsi" w:hAnsiTheme="majorHAnsi"/>
        </w:rPr>
        <w:t>2. Validation Reliability:</w:t>
      </w:r>
    </w:p>
    <w:p w14:paraId="7F48810B"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Direct comparison of predicted vs. measured RSRP for non-top-1 beams becomes unreliable due to:</w:t>
      </w:r>
    </w:p>
    <w:p w14:paraId="1B8B8E3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Ranking mismatches.</w:t>
      </w:r>
    </w:p>
    <w:p w14:paraId="53DB9A56"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Compounded quantization noise.</w:t>
      </w:r>
    </w:p>
    <w:p w14:paraId="2ABCC496"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To ensure reliable validation while minimizing complexity</w:t>
      </w:r>
      <w:r>
        <w:rPr>
          <w:rFonts w:asciiTheme="majorHAnsi" w:hAnsiTheme="majorHAnsi"/>
          <w:szCs w:val="20"/>
        </w:rPr>
        <w:t>, we suggest to d</w:t>
      </w:r>
      <w:r w:rsidRPr="003A47A1">
        <w:rPr>
          <w:rFonts w:asciiTheme="majorHAnsi" w:hAnsiTheme="majorHAnsi"/>
          <w:szCs w:val="20"/>
        </w:rPr>
        <w:t xml:space="preserve">efine absolute RSRP accuracy only for the top-1 predicted beam to:  </w:t>
      </w:r>
      <m:oMath>
        <m:r>
          <w:rPr>
            <w:rFonts w:ascii="Cambria Math" w:hAnsi="Cambria Math"/>
            <w:szCs w:val="20"/>
          </w:rPr>
          <m:t xml:space="preserve">  </m:t>
        </m:r>
      </m:oMath>
    </w:p>
    <w:p w14:paraId="26CE8530"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Avoids compounding quantization errors from differential reporting.  </w:t>
      </w:r>
    </w:p>
    <w:p w14:paraId="5BD83BFB"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Aligns with legacy beam reporting, which focuses on the highest-ranked beam.  </w:t>
      </w:r>
    </w:p>
    <w:p w14:paraId="1181F935" w14:textId="77777777" w:rsidR="00A50502" w:rsidRPr="0087251E" w:rsidRDefault="00A50502" w:rsidP="00A50502">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24224BF" w14:textId="77777777" w:rsidR="00A50502" w:rsidRPr="000045F2" w:rsidRDefault="00A50502" w:rsidP="00A50502">
      <w:pPr>
        <w:pStyle w:val="3"/>
        <w:spacing w:before="240" w:after="120"/>
        <w:rPr>
          <w:rFonts w:asciiTheme="majorHAnsi" w:hAnsiTheme="majorHAnsi" w:cstheme="majorHAnsi"/>
          <w:sz w:val="20"/>
        </w:rPr>
      </w:pPr>
      <w:bookmarkStart w:id="3" w:name="OLE_LINK5"/>
      <w:r w:rsidRPr="000045F2">
        <w:rPr>
          <w:rFonts w:asciiTheme="majorHAnsi" w:hAnsiTheme="majorHAnsi" w:cstheme="majorHAnsi"/>
          <w:sz w:val="20"/>
        </w:rPr>
        <w:t>2.1.3 RSRP relative accuracy</w:t>
      </w:r>
    </w:p>
    <w:p w14:paraId="7E887997" w14:textId="77777777" w:rsidR="00A50502" w:rsidRPr="000045F2" w:rsidRDefault="00A50502" w:rsidP="00A50502">
      <w:pPr>
        <w:spacing w:after="120"/>
        <w:rPr>
          <w:rFonts w:asciiTheme="majorHAnsi" w:hAnsiTheme="majorHAnsi"/>
          <w:szCs w:val="20"/>
          <w:lang w:val="en-GB"/>
        </w:rPr>
      </w:pPr>
      <w:r w:rsidRPr="000045F2">
        <w:rPr>
          <w:rFonts w:asciiTheme="majorHAnsi" w:hAnsiTheme="majorHAnsi"/>
          <w:szCs w:val="20"/>
          <w:lang w:val="en-GB"/>
        </w:rPr>
        <w:t>RAN4 agrees to further discuss the definition of relative accuracy.</w:t>
      </w:r>
    </w:p>
    <w:tbl>
      <w:tblPr>
        <w:tblStyle w:val="ad"/>
        <w:tblW w:w="0" w:type="auto"/>
        <w:tblLook w:val="04A0" w:firstRow="1" w:lastRow="0" w:firstColumn="1" w:lastColumn="0" w:noHBand="0" w:noVBand="1"/>
      </w:tblPr>
      <w:tblGrid>
        <w:gridCol w:w="9628"/>
      </w:tblGrid>
      <w:tr w:rsidR="00A50502" w:rsidRPr="000045F2" w14:paraId="19CD4A72" w14:textId="77777777" w:rsidTr="007E215B">
        <w:tc>
          <w:tcPr>
            <w:tcW w:w="9628" w:type="dxa"/>
          </w:tcPr>
          <w:p w14:paraId="54AD9DA0" w14:textId="77777777" w:rsidR="00A50502" w:rsidRPr="000045F2" w:rsidRDefault="00A50502" w:rsidP="00420833">
            <w:pPr>
              <w:pStyle w:val="ab"/>
              <w:numPr>
                <w:ilvl w:val="0"/>
                <w:numId w:val="7"/>
              </w:numPr>
              <w:overflowPunct w:val="0"/>
              <w:autoSpaceDE w:val="0"/>
              <w:autoSpaceDN w:val="0"/>
              <w:adjustRightInd w:val="0"/>
              <w:spacing w:after="120"/>
              <w:ind w:left="426" w:firstLineChars="0"/>
              <w:textAlignment w:val="baseline"/>
              <w:rPr>
                <w:rFonts w:asciiTheme="majorHAnsi" w:hAnsiTheme="majorHAnsi"/>
              </w:rPr>
            </w:pPr>
            <w:r w:rsidRPr="000045F2">
              <w:rPr>
                <w:rFonts w:asciiTheme="majorHAnsi" w:hAnsiTheme="majorHAnsi"/>
              </w:rPr>
              <w:t>RAN4 to use the follow as baseline for further discussions, if the relative RSRP accuracy requirement is defined</w:t>
            </w:r>
          </w:p>
          <w:p w14:paraId="2384E210"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lang w:eastAsia="ja-JP"/>
              </w:rPr>
              <w:t xml:space="preserve">Relative RSRP accuracy for reported beams during inference reporting = (predicted L1-RSRP of beam index </w:t>
            </w:r>
            <w:proofErr w:type="spellStart"/>
            <w:r w:rsidRPr="000045F2">
              <w:rPr>
                <w:rFonts w:asciiTheme="majorHAnsi" w:eastAsia="Yu Mincho" w:hAnsiTheme="majorHAnsi"/>
                <w:lang w:eastAsia="ja-JP"/>
              </w:rPr>
              <w:t>i</w:t>
            </w:r>
            <w:proofErr w:type="spellEnd"/>
            <w:r w:rsidRPr="000045F2">
              <w:rPr>
                <w:rFonts w:asciiTheme="majorHAnsi" w:eastAsia="Yu Mincho" w:hAnsiTheme="majorHAnsi"/>
                <w:lang w:eastAsia="ja-JP"/>
              </w:rPr>
              <w:t xml:space="preserve"> - reported L1-RSRP of beam index n) - (ground truth of L1-RSRP of beam index </w:t>
            </w:r>
            <w:proofErr w:type="spellStart"/>
            <w:r w:rsidRPr="000045F2">
              <w:rPr>
                <w:rFonts w:asciiTheme="majorHAnsi" w:eastAsia="Yu Mincho" w:hAnsiTheme="majorHAnsi"/>
                <w:lang w:eastAsia="ja-JP"/>
              </w:rPr>
              <w:t>i</w:t>
            </w:r>
            <w:proofErr w:type="spellEnd"/>
            <w:r w:rsidRPr="000045F2">
              <w:rPr>
                <w:rFonts w:asciiTheme="majorHAnsi" w:eastAsia="Yu Mincho" w:hAnsiTheme="majorHAnsi"/>
                <w:lang w:eastAsia="ja-JP"/>
              </w:rPr>
              <w:t xml:space="preserve"> - ground truth of L1-RSRP of beam index n), [where the beam index n owns the largest reported value].</w:t>
            </w:r>
          </w:p>
          <w:p w14:paraId="3BE1389C"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 xml:space="preserve">Reported L1-RSRP can be predicted, </w:t>
            </w:r>
          </w:p>
          <w:p w14:paraId="4A45865F"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FFS whether reported L1-RSRP can be measured RSRP</w:t>
            </w:r>
          </w:p>
          <w:p w14:paraId="6840D236" w14:textId="77777777" w:rsidR="00A50502" w:rsidRPr="0087251E"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rPr>
              <w:t>Relative RSRP accuracy requirements apply for Case 1, and FFS on whether it can apply for Case 2</w:t>
            </w:r>
          </w:p>
        </w:tc>
      </w:tr>
    </w:tbl>
    <w:p w14:paraId="73ADAF4F" w14:textId="77777777" w:rsidR="00A50502" w:rsidRPr="000045F2" w:rsidRDefault="00A50502" w:rsidP="00A50502">
      <w:pPr>
        <w:spacing w:after="120"/>
        <w:rPr>
          <w:rFonts w:asciiTheme="majorHAnsi" w:eastAsia="等线" w:hAnsiTheme="majorHAnsi"/>
          <w:szCs w:val="20"/>
        </w:rPr>
      </w:pPr>
    </w:p>
    <w:p w14:paraId="692B56D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In legacy, relative RSRP accuracy is defined for measured differential RSRP reporting. Therefore, similarly, we suggest to define relative RSRP accuracy for predicted differential RSRP reporting.</w:t>
      </w:r>
    </w:p>
    <w:p w14:paraId="3EB0758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Therefore,</w:t>
      </w:r>
    </w:p>
    <w:p w14:paraId="12990DE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Relative accuracy for BM-case 1 is similar as legacy:</w:t>
      </w:r>
    </w:p>
    <w:p w14:paraId="14B69B81"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szCs w:val="20"/>
        </w:rPr>
      </w:pPr>
      <w:bookmarkStart w:id="4" w:name="OLE_LINK2"/>
      <w:r w:rsidRPr="000045F2">
        <w:rPr>
          <w:rFonts w:asciiTheme="majorHAnsi" w:eastAsia="Yu Mincho" w:hAnsiTheme="majorHAnsi"/>
          <w:szCs w:val="20"/>
          <w:lang w:eastAsia="ja-JP"/>
        </w:rPr>
        <w:lastRenderedPageBreak/>
        <w:t xml:space="preserve">Relative RSRP accuracy for reported beams during inference reporting = (predicted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predicted L1-RSRP of beam index n) - (ground truth of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ground truth of L1-RSRP of beam index n), where the beam index n owns the largest prediction RSRP.</w:t>
      </w:r>
    </w:p>
    <w:p w14:paraId="3C7855C4" w14:textId="77777777" w:rsidR="00A50502" w:rsidRPr="000045F2" w:rsidRDefault="00A50502" w:rsidP="00A50502">
      <w:pPr>
        <w:spacing w:after="120"/>
        <w:rPr>
          <w:rFonts w:asciiTheme="majorHAnsi" w:eastAsia="等线" w:hAnsiTheme="majorHAnsi"/>
          <w:szCs w:val="20"/>
        </w:rPr>
      </w:pPr>
      <w:r w:rsidRPr="000045F2">
        <w:rPr>
          <w:rFonts w:asciiTheme="majorHAnsi" w:eastAsia="Yu Mincho" w:hAnsiTheme="majorHAnsi"/>
          <w:szCs w:val="20"/>
          <w:lang w:eastAsia="ja-JP"/>
        </w:rPr>
        <w:t xml:space="preserve">Where predicted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predicted L1-RSRP of beam index n is predicted differential RSRP in the report. </w:t>
      </w:r>
    </w:p>
    <w:bookmarkEnd w:id="4"/>
    <w:p w14:paraId="6F7F18F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Another issue is that whether relative accuracy defined above can apply for BM case-2.</w:t>
      </w:r>
    </w:p>
    <w:p w14:paraId="79EEAB7A" w14:textId="77777777" w:rsidR="00A50502" w:rsidRPr="000045F2" w:rsidRDefault="00A50502" w:rsidP="00A50502">
      <w:pPr>
        <w:spacing w:after="120"/>
        <w:rPr>
          <w:rFonts w:asciiTheme="majorHAnsi" w:hAnsiTheme="majorHAnsi"/>
          <w:b/>
          <w:bCs/>
          <w:szCs w:val="20"/>
          <w:u w:val="single"/>
        </w:rPr>
      </w:pPr>
      <w:r w:rsidRPr="000045F2">
        <w:rPr>
          <w:rFonts w:asciiTheme="majorHAnsi" w:hAnsiTheme="majorHAnsi"/>
          <w:b/>
          <w:bCs/>
          <w:szCs w:val="20"/>
          <w:u w:val="single"/>
        </w:rPr>
        <w:t xml:space="preserve">Extension to BM-Case 2  </w:t>
      </w:r>
    </w:p>
    <w:p w14:paraId="5435540A"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The baseline relative RSRP accuracy definition (designed for BM-Case 1) cannot be directly applied to BM-Case 2 due to fundamental differences in reporting structure and reference point selection. Here’s a detailed breakdown of the limitations:</w:t>
      </w:r>
    </w:p>
    <w:p w14:paraId="1CE5F30E"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1. Single-Instance vs. Multi-Instance Reporting</w:t>
      </w:r>
    </w:p>
    <w:p w14:paraId="3CAA1762" w14:textId="77777777" w:rsidR="00A50502" w:rsidRPr="00B962D5" w:rsidRDefault="00A50502" w:rsidP="00420833">
      <w:pPr>
        <w:pStyle w:val="ab"/>
        <w:numPr>
          <w:ilvl w:val="0"/>
          <w:numId w:val="11"/>
        </w:numPr>
        <w:spacing w:after="120"/>
        <w:ind w:firstLineChars="0"/>
        <w:rPr>
          <w:rFonts w:asciiTheme="majorHAnsi" w:hAnsiTheme="majorHAnsi"/>
          <w:szCs w:val="20"/>
        </w:rPr>
      </w:pPr>
      <w:r w:rsidRPr="00B962D5">
        <w:rPr>
          <w:rFonts w:asciiTheme="majorHAnsi" w:hAnsiTheme="majorHAnsi"/>
          <w:szCs w:val="20"/>
        </w:rPr>
        <w:t xml:space="preserve">BM-Case 1 (Single Time Instance):  </w:t>
      </w:r>
    </w:p>
    <w:p w14:paraId="644FE663"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Reports K beams at one time instance.  </w:t>
      </w:r>
    </w:p>
    <w:p w14:paraId="6846515C"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The reference beam (n) is clearly defined as the highest-RSRP beam within that report.  </w:t>
      </w:r>
    </w:p>
    <w:p w14:paraId="6CAC17C0"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Relative accuracy compares all other beams (</w:t>
      </w:r>
      <w:proofErr w:type="spellStart"/>
      <w:r w:rsidRPr="005A4F84">
        <w:rPr>
          <w:rFonts w:asciiTheme="majorHAnsi" w:hAnsiTheme="majorHAnsi"/>
          <w:szCs w:val="20"/>
        </w:rPr>
        <w:t>i</w:t>
      </w:r>
      <w:proofErr w:type="spellEnd"/>
      <w:r w:rsidRPr="005A4F84">
        <w:rPr>
          <w:rFonts w:asciiTheme="majorHAnsi" w:hAnsiTheme="majorHAnsi"/>
          <w:szCs w:val="20"/>
        </w:rPr>
        <w:t xml:space="preserve">) to this fixed reference (n) in the same snapshot.  </w:t>
      </w:r>
    </w:p>
    <w:p w14:paraId="21181F15" w14:textId="77777777" w:rsidR="00A50502" w:rsidRPr="000045F2" w:rsidRDefault="00A50502" w:rsidP="00420833">
      <w:pPr>
        <w:pStyle w:val="ab"/>
        <w:numPr>
          <w:ilvl w:val="0"/>
          <w:numId w:val="11"/>
        </w:numPr>
        <w:spacing w:after="120"/>
        <w:ind w:firstLineChars="0"/>
        <w:rPr>
          <w:rFonts w:asciiTheme="majorHAnsi" w:hAnsiTheme="majorHAnsi"/>
          <w:szCs w:val="20"/>
        </w:rPr>
      </w:pPr>
      <w:r w:rsidRPr="000045F2">
        <w:rPr>
          <w:rFonts w:asciiTheme="majorHAnsi" w:hAnsiTheme="majorHAnsi"/>
          <w:szCs w:val="20"/>
        </w:rPr>
        <w:t xml:space="preserve">BM-Case 2 (Multiple Time Instances):  </w:t>
      </w:r>
    </w:p>
    <w:p w14:paraId="356D25B2" w14:textId="77777777" w:rsidR="00A50502" w:rsidRDefault="00A50502" w:rsidP="00420833">
      <w:pPr>
        <w:pStyle w:val="ab"/>
        <w:numPr>
          <w:ilvl w:val="0"/>
          <w:numId w:val="12"/>
        </w:numPr>
        <w:spacing w:after="120"/>
        <w:ind w:firstLineChars="0"/>
        <w:rPr>
          <w:rFonts w:asciiTheme="majorHAnsi" w:hAnsiTheme="majorHAnsi"/>
          <w:szCs w:val="20"/>
        </w:rPr>
      </w:pPr>
      <w:r w:rsidRPr="000045F2">
        <w:rPr>
          <w:rFonts w:asciiTheme="majorHAnsi" w:hAnsiTheme="majorHAnsi"/>
          <w:szCs w:val="20"/>
        </w:rPr>
        <w:t xml:space="preserve">Reports K beams × N time instances (e.g., beam predictions over time).  </w:t>
      </w:r>
    </w:p>
    <w:p w14:paraId="374BF8ED" w14:textId="77777777" w:rsidR="00A50502" w:rsidRPr="00B962D5" w:rsidRDefault="00A50502" w:rsidP="00420833">
      <w:pPr>
        <w:pStyle w:val="ab"/>
        <w:numPr>
          <w:ilvl w:val="0"/>
          <w:numId w:val="12"/>
        </w:numPr>
        <w:spacing w:after="120"/>
        <w:ind w:firstLineChars="0"/>
        <w:rPr>
          <w:rFonts w:asciiTheme="majorHAnsi" w:eastAsia="宋体" w:hAnsiTheme="majorHAnsi"/>
          <w:szCs w:val="20"/>
        </w:rPr>
      </w:pPr>
      <w:r w:rsidRPr="00B962D5">
        <w:rPr>
          <w:rFonts w:asciiTheme="majorHAnsi" w:hAnsiTheme="majorHAnsi"/>
          <w:szCs w:val="20"/>
        </w:rPr>
        <w:t xml:space="preserve">Ambiguity of </w:t>
      </w:r>
      <w:r w:rsidRPr="005A4F84">
        <w:rPr>
          <w:rFonts w:asciiTheme="majorHAnsi" w:hAnsiTheme="majorHAnsi"/>
          <w:szCs w:val="20"/>
        </w:rPr>
        <w:t>global maximum RSRP</w:t>
      </w:r>
      <w:r w:rsidRPr="00B962D5">
        <w:rPr>
          <w:rFonts w:asciiTheme="majorHAnsi" w:hAnsiTheme="majorHAnsi"/>
          <w:szCs w:val="20"/>
        </w:rPr>
        <w:t> (used as reference):</w:t>
      </w:r>
    </w:p>
    <w:p w14:paraId="78997F13" w14:textId="77777777" w:rsidR="00A50502" w:rsidRPr="009F73A5" w:rsidRDefault="00A50502" w:rsidP="00420833">
      <w:pPr>
        <w:pStyle w:val="ab"/>
        <w:numPr>
          <w:ilvl w:val="0"/>
          <w:numId w:val="13"/>
        </w:numPr>
        <w:spacing w:after="120"/>
        <w:ind w:firstLineChars="0"/>
        <w:rPr>
          <w:rFonts w:asciiTheme="majorHAnsi" w:hAnsiTheme="majorHAnsi"/>
          <w:szCs w:val="20"/>
        </w:rPr>
      </w:pPr>
      <w:r w:rsidRPr="009F73A5">
        <w:rPr>
          <w:rFonts w:asciiTheme="majorHAnsi" w:hAnsiTheme="majorHAnsi"/>
          <w:szCs w:val="20"/>
        </w:rPr>
        <w:t>different time instance for the same beam index n </w:t>
      </w:r>
    </w:p>
    <w:p w14:paraId="33ACFA15" w14:textId="77777777" w:rsidR="00A50502" w:rsidRPr="00B962D5" w:rsidRDefault="00A50502" w:rsidP="00420833">
      <w:pPr>
        <w:pStyle w:val="ab"/>
        <w:numPr>
          <w:ilvl w:val="0"/>
          <w:numId w:val="12"/>
        </w:numPr>
        <w:spacing w:after="120"/>
        <w:ind w:firstLineChars="0"/>
        <w:rPr>
          <w:rFonts w:asciiTheme="majorHAnsi" w:hAnsiTheme="majorHAnsi"/>
          <w:szCs w:val="20"/>
        </w:rPr>
      </w:pPr>
      <w:r w:rsidRPr="00B962D5">
        <w:rPr>
          <w:rFonts w:asciiTheme="majorHAnsi" w:hAnsiTheme="majorHAnsi"/>
          <w:szCs w:val="20"/>
        </w:rPr>
        <w:t>Relative accuracy can happen in two dimensions:</w:t>
      </w:r>
    </w:p>
    <w:p w14:paraId="0E02CCFA" w14:textId="77777777" w:rsidR="00A50502" w:rsidRPr="004235A0" w:rsidRDefault="00A50502" w:rsidP="00420833">
      <w:pPr>
        <w:pStyle w:val="ab"/>
        <w:numPr>
          <w:ilvl w:val="0"/>
          <w:numId w:val="13"/>
        </w:numPr>
        <w:spacing w:after="120"/>
        <w:ind w:firstLineChars="0"/>
        <w:rPr>
          <w:rFonts w:asciiTheme="majorHAnsi" w:hAnsiTheme="majorHAnsi"/>
          <w:szCs w:val="20"/>
        </w:rPr>
      </w:pPr>
      <w:r w:rsidRPr="004235A0">
        <w:rPr>
          <w:rFonts w:asciiTheme="majorHAnsi" w:hAnsiTheme="majorHAnsi"/>
          <w:szCs w:val="20"/>
        </w:rPr>
        <w:t>Intra-time beam comparison (same time, different beams)</w:t>
      </w:r>
    </w:p>
    <w:p w14:paraId="1C7E4207" w14:textId="77777777" w:rsidR="00A50502" w:rsidRPr="00FE4FFF" w:rsidRDefault="00A50502" w:rsidP="00420833">
      <w:pPr>
        <w:pStyle w:val="ab"/>
        <w:numPr>
          <w:ilvl w:val="0"/>
          <w:numId w:val="13"/>
        </w:numPr>
        <w:spacing w:after="120"/>
        <w:ind w:firstLineChars="0"/>
        <w:rPr>
          <w:rFonts w:asciiTheme="majorHAnsi" w:eastAsia="宋体" w:hAnsiTheme="majorHAnsi"/>
          <w:kern w:val="0"/>
          <w:szCs w:val="20"/>
        </w:rPr>
      </w:pPr>
      <w:r w:rsidRPr="00FE4FFF">
        <w:rPr>
          <w:rFonts w:asciiTheme="majorHAnsi" w:eastAsia="宋体" w:hAnsiTheme="majorHAnsi"/>
          <w:kern w:val="0"/>
          <w:szCs w:val="20"/>
        </w:rPr>
        <w:t>Inter-time beam comparison (same beam, different times)</w:t>
      </w:r>
    </w:p>
    <w:p w14:paraId="32B7CAA7" w14:textId="77777777" w:rsidR="00A50502" w:rsidRPr="006673FC" w:rsidRDefault="00A50502" w:rsidP="00A50502">
      <w:pPr>
        <w:spacing w:after="120"/>
        <w:rPr>
          <w:rFonts w:asciiTheme="majorHAnsi" w:eastAsia="宋体" w:hAnsiTheme="majorHAnsi"/>
          <w:szCs w:val="20"/>
        </w:rPr>
      </w:pPr>
      <w:r w:rsidRPr="006673FC">
        <w:rPr>
          <w:rFonts w:asciiTheme="majorHAnsi" w:hAnsiTheme="majorHAnsi"/>
          <w:szCs w:val="20"/>
        </w:rPr>
        <w:t>The baseline formula assumes the reference (n) and target (</w:t>
      </w:r>
      <w:proofErr w:type="spellStart"/>
      <w:r w:rsidRPr="006673FC">
        <w:rPr>
          <w:rFonts w:asciiTheme="majorHAnsi" w:hAnsiTheme="majorHAnsi"/>
          <w:szCs w:val="20"/>
        </w:rPr>
        <w:t>i</w:t>
      </w:r>
      <w:proofErr w:type="spellEnd"/>
      <w:r w:rsidRPr="006673FC">
        <w:rPr>
          <w:rFonts w:asciiTheme="majorHAnsi" w:hAnsiTheme="majorHAnsi"/>
          <w:szCs w:val="20"/>
        </w:rPr>
        <w:t>) beams are </w:t>
      </w:r>
      <w:r w:rsidRPr="006673FC">
        <w:rPr>
          <w:rFonts w:asciiTheme="majorHAnsi" w:hAnsiTheme="majorHAnsi"/>
          <w:b/>
          <w:bCs/>
          <w:szCs w:val="20"/>
        </w:rPr>
        <w:t>from the same time instance</w:t>
      </w:r>
      <w:r w:rsidRPr="006673FC">
        <w:rPr>
          <w:rFonts w:asciiTheme="majorHAnsi" w:hAnsiTheme="majorHAnsi"/>
          <w:szCs w:val="20"/>
        </w:rPr>
        <w:t>, which is </w:t>
      </w:r>
      <w:r w:rsidRPr="006673FC">
        <w:rPr>
          <w:rFonts w:asciiTheme="majorHAnsi" w:hAnsiTheme="majorHAnsi"/>
          <w:b/>
          <w:bCs/>
          <w:szCs w:val="20"/>
        </w:rPr>
        <w:t>invalid</w:t>
      </w:r>
      <w:r w:rsidRPr="006673FC">
        <w:rPr>
          <w:rFonts w:asciiTheme="majorHAnsi" w:hAnsiTheme="majorHAnsi"/>
          <w:szCs w:val="20"/>
        </w:rPr>
        <w:t> when n and </w:t>
      </w:r>
      <w:proofErr w:type="spellStart"/>
      <w:r w:rsidRPr="006673FC">
        <w:rPr>
          <w:rFonts w:asciiTheme="majorHAnsi" w:hAnsiTheme="majorHAnsi"/>
          <w:szCs w:val="20"/>
        </w:rPr>
        <w:t>i</w:t>
      </w:r>
      <w:proofErr w:type="spellEnd"/>
      <w:r w:rsidRPr="006673FC">
        <w:rPr>
          <w:rFonts w:asciiTheme="majorHAnsi" w:hAnsiTheme="majorHAnsi"/>
          <w:szCs w:val="20"/>
        </w:rPr>
        <w:t xml:space="preserve"> span multiple times. </w:t>
      </w:r>
      <w:r w:rsidRPr="004235A0">
        <w:rPr>
          <w:rFonts w:asciiTheme="majorHAnsi" w:hAnsiTheme="majorHAnsi"/>
          <w:szCs w:val="20"/>
        </w:rPr>
        <w:t>The baseline definition lacks a mechanism to handle this two-dimensional variability.</w:t>
      </w:r>
    </w:p>
    <w:p w14:paraId="4FE646C7" w14:textId="77777777" w:rsidR="00A50502" w:rsidRPr="006673FC" w:rsidRDefault="00A50502" w:rsidP="00A50502">
      <w:pPr>
        <w:spacing w:after="120"/>
        <w:rPr>
          <w:rFonts w:asciiTheme="majorHAnsi" w:hAnsiTheme="majorHAnsi"/>
          <w:szCs w:val="20"/>
        </w:rPr>
      </w:pPr>
      <w:r>
        <w:rPr>
          <w:rFonts w:asciiTheme="majorHAnsi" w:hAnsiTheme="majorHAnsi"/>
          <w:szCs w:val="20"/>
        </w:rPr>
        <w:t>In summary:</w:t>
      </w:r>
    </w:p>
    <w:p w14:paraId="50361F87" w14:textId="77777777" w:rsidR="00A50502" w:rsidRPr="00C86CA5" w:rsidRDefault="00A50502" w:rsidP="00A50502">
      <w:pPr>
        <w:spacing w:afterLines="100" w:after="240"/>
        <w:rPr>
          <w:rFonts w:asciiTheme="majorHAnsi" w:hAnsiTheme="majorHAnsi"/>
          <w:szCs w:val="20"/>
        </w:rPr>
      </w:pPr>
      <w:r w:rsidRPr="00C86CA5">
        <w:rPr>
          <w:rFonts w:asciiTheme="majorHAnsi" w:hAnsiTheme="majorHAnsi"/>
          <w:szCs w:val="20"/>
        </w:rPr>
        <w:t>We suggested to use a unified expression for both BM case-1 and case-2:</w:t>
      </w:r>
    </w:p>
    <w:p w14:paraId="476452B6" w14:textId="77777777" w:rsidR="00A50502" w:rsidRPr="004A19E7" w:rsidRDefault="00A50502" w:rsidP="00A50502">
      <w:pPr>
        <w:pStyle w:val="a3"/>
        <w:spacing w:after="120"/>
        <w:jc w:val="both"/>
        <w:rPr>
          <w:rFonts w:eastAsia="仿宋"/>
          <w:lang w:val="en-GB" w:eastAsia="ja-JP"/>
        </w:rPr>
      </w:pPr>
      <m:oMathPara>
        <m:oMath>
          <m:r>
            <m:rPr>
              <m:nor/>
            </m:rPr>
            <w:rPr>
              <w:rFonts w:eastAsia="仿宋"/>
            </w:rPr>
            <m:t xml:space="preserve">Relative RSRP </m:t>
          </m:r>
          <m:sSub>
            <m:sSubPr>
              <m:ctrlPr>
                <w:rPr>
                  <w:rFonts w:ascii="Cambria Math" w:eastAsia="仿宋" w:hAnsi="Cambria Math"/>
                  <w:i/>
                </w:rPr>
              </m:ctrlPr>
            </m:sSubPr>
            <m:e>
              <m:r>
                <m:rPr>
                  <m:nor/>
                </m:rPr>
                <w:rPr>
                  <w:rFonts w:eastAsia="仿宋"/>
                </w:rPr>
                <m:t>Accuracy</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d>
            <m:dPr>
              <m:ctrlPr>
                <w:rPr>
                  <w:rFonts w:ascii="Cambria Math" w:eastAsia="仿宋" w:hAnsi="Cambria Math"/>
                </w:rPr>
              </m:ctrlPr>
            </m:dPr>
            <m:e>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r>
            <w:rPr>
              <w:rFonts w:ascii="Cambria Math" w:eastAsia="仿宋" w:hAnsi="Cambria Math"/>
            </w:rPr>
            <m:t>-</m:t>
          </m:r>
          <m:d>
            <m:dPr>
              <m:ctrlPr>
                <w:rPr>
                  <w:rFonts w:ascii="Cambria Math" w:eastAsia="仿宋" w:hAnsi="Cambria Math"/>
                </w:rPr>
              </m:ctrlPr>
            </m:dPr>
            <m:e>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oMath>
      </m:oMathPara>
    </w:p>
    <w:p w14:paraId="6EC5F3B2" w14:textId="77777777" w:rsidR="00A50502" w:rsidRPr="009950AA" w:rsidRDefault="00A50502" w:rsidP="00A50502">
      <w:pPr>
        <w:pStyle w:val="a3"/>
        <w:spacing w:after="120" w:line="240" w:lineRule="auto"/>
        <w:jc w:val="both"/>
        <w:rPr>
          <w:rFonts w:asciiTheme="majorHAnsi" w:eastAsia="仿宋" w:hAnsiTheme="majorHAnsi" w:cstheme="majorHAnsi"/>
        </w:rPr>
      </w:pP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largest RSRP across all time instance and beams in the report</w:t>
      </w:r>
      <w:r w:rsidRPr="009950AA">
        <w:rPr>
          <w:rFonts w:asciiTheme="majorHAnsi" w:eastAsia="仿宋" w:hAnsiTheme="majorHAnsi" w:cstheme="majorHAnsi"/>
        </w:rPr>
        <w:t>。</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oMath>
      <w:r w:rsidRPr="009950AA">
        <w:rPr>
          <w:rFonts w:asciiTheme="majorHAnsi" w:eastAsia="仿宋" w:hAnsiTheme="majorHAnsi" w:cstheme="majorHAnsi"/>
        </w:rPr>
        <w:t xml:space="preserve"> is RSRP of beam index </w:t>
      </w:r>
      <w:proofErr w:type="spellStart"/>
      <w:r w:rsidRPr="009950AA">
        <w:rPr>
          <w:rFonts w:asciiTheme="majorHAnsi" w:eastAsia="仿宋" w:hAnsiTheme="majorHAnsi" w:cstheme="majorHAnsi"/>
        </w:rPr>
        <w:t>i</w:t>
      </w:r>
      <w:proofErr w:type="spellEnd"/>
      <w:r w:rsidRPr="009950AA">
        <w:rPr>
          <w:rFonts w:asciiTheme="majorHAnsi" w:eastAsia="仿宋" w:hAnsiTheme="majorHAnsi" w:cstheme="majorHAnsi"/>
        </w:rPr>
        <w:t xml:space="preserve"> at time t</w:t>
      </w:r>
      <w:r w:rsidRPr="009950AA">
        <w:rPr>
          <w:rFonts w:asciiTheme="majorHAnsi" w:eastAsia="仿宋" w:hAnsiTheme="majorHAnsi" w:cstheme="majorHAnsi"/>
        </w:rPr>
        <w:t>。</w:t>
      </w:r>
      <m:oMath>
        <m:r>
          <m:rPr>
            <m:nor/>
          </m:rPr>
          <w:rPr>
            <w:rFonts w:asciiTheme="majorHAnsi" w:eastAsia="仿宋" w:hAnsiTheme="majorHAnsi" w:cstheme="majorHAnsi"/>
          </w:rPr>
          <m:t xml:space="preserve">True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true RSRP corresponding to the beam/time of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w:t>
      </w: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r>
          <w:rPr>
            <w:rFonts w:ascii="Cambria Math" w:eastAsia="仿宋" w:hAnsi="Cambria Math" w:cstheme="majorHAnsi"/>
          </w:rPr>
          <m:t>-</m:t>
        </m:r>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w:t>
      </w:r>
      <w:r w:rsidRPr="009950AA">
        <w:rPr>
          <w:rFonts w:asciiTheme="majorHAnsi" w:eastAsia="Yu Mincho" w:hAnsiTheme="majorHAnsi" w:cstheme="majorHAnsi"/>
          <w:lang w:eastAsia="ja-JP"/>
        </w:rPr>
        <w:t>predicted differential RSRP in the report.</w:t>
      </w:r>
    </w:p>
    <w:bookmarkEnd w:id="3"/>
    <w:p w14:paraId="3B22DCDD" w14:textId="3B91D233" w:rsidR="00A50502" w:rsidRDefault="00A50502" w:rsidP="00A50502">
      <w:pPr>
        <w:spacing w:afterLines="100" w:after="240"/>
        <w:rPr>
          <w:rFonts w:asciiTheme="majorHAnsi" w:hAnsiTheme="majorHAnsi"/>
          <w:b/>
          <w:bCs/>
          <w:szCs w:val="20"/>
        </w:rPr>
      </w:pPr>
      <w:r>
        <w:rPr>
          <w:rFonts w:asciiTheme="majorHAnsi" w:hAnsiTheme="majorHAnsi"/>
          <w:b/>
          <w:bCs/>
          <w:szCs w:val="20"/>
        </w:rPr>
        <w:t>Proposal</w:t>
      </w:r>
      <w:r w:rsidR="009914A4">
        <w:rPr>
          <w:rFonts w:asciiTheme="majorHAnsi" w:hAnsiTheme="majorHAnsi"/>
          <w:b/>
          <w:bCs/>
          <w:szCs w:val="20"/>
        </w:rPr>
        <w:t xml:space="preserve"> 3</w:t>
      </w:r>
      <w:r>
        <w:rPr>
          <w:rFonts w:asciiTheme="majorHAnsi" w:hAnsiTheme="majorHAnsi"/>
          <w:b/>
          <w:bCs/>
          <w:szCs w:val="20"/>
        </w:rPr>
        <w:t>: For relative predicted RSRP accuracy, define unified definition for both BM-case 1 and BM-case 2:</w:t>
      </w:r>
    </w:p>
    <w:p w14:paraId="437FE506" w14:textId="77777777" w:rsidR="00A50502" w:rsidRPr="00825F2C" w:rsidRDefault="00A50502" w:rsidP="00A50502">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1C81EFBF" w14:textId="77777777" w:rsidR="00A50502" w:rsidRPr="00825F2C" w:rsidRDefault="00A50502" w:rsidP="00A50502">
      <w:pPr>
        <w:pStyle w:val="a3"/>
        <w:spacing w:after="120" w:line="240" w:lineRule="auto"/>
        <w:jc w:val="both"/>
        <w:rPr>
          <w:rFonts w:asciiTheme="majorHAnsi" w:eastAsia="仿宋" w:hAnsiTheme="majorHAnsi" w:cstheme="majorHAnsi"/>
          <w:b/>
          <w:bCs/>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54388174" w14:textId="43C9E84D"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bookmarkStart w:id="5" w:name="OLE_LINK4"/>
      <w:r w:rsidRPr="003A47A1">
        <w:rPr>
          <w:rFonts w:asciiTheme="majorHAnsi" w:hAnsiTheme="majorHAnsi" w:cstheme="majorHAnsi"/>
          <w:sz w:val="28"/>
          <w:szCs w:val="28"/>
        </w:rPr>
        <w:t>2.</w:t>
      </w:r>
      <w:r w:rsidR="0047499B">
        <w:rPr>
          <w:rFonts w:asciiTheme="majorHAnsi" w:hAnsiTheme="majorHAnsi" w:cstheme="majorHAnsi"/>
          <w:sz w:val="28"/>
          <w:szCs w:val="28"/>
        </w:rPr>
        <w:t>2</w:t>
      </w:r>
      <w:r w:rsidRPr="003A47A1">
        <w:rPr>
          <w:rFonts w:asciiTheme="majorHAnsi" w:hAnsiTheme="majorHAnsi" w:cstheme="majorHAnsi"/>
          <w:sz w:val="28"/>
          <w:szCs w:val="28"/>
        </w:rPr>
        <w:t xml:space="preserve"> Measurement error</w:t>
      </w:r>
    </w:p>
    <w:p w14:paraId="16CB20A0" w14:textId="77777777" w:rsidR="00A50502" w:rsidRPr="003A47A1" w:rsidRDefault="00A50502" w:rsidP="00A50502">
      <w:pPr>
        <w:pStyle w:val="a3"/>
        <w:spacing w:beforeLines="50" w:before="120" w:after="120"/>
        <w:rPr>
          <w:rFonts w:asciiTheme="majorHAnsi" w:eastAsia="仿宋" w:hAnsiTheme="majorHAnsi" w:cstheme="majorHAnsi"/>
          <w:u w:val="single"/>
        </w:rPr>
      </w:pPr>
      <w:r w:rsidRPr="003A47A1">
        <w:rPr>
          <w:rFonts w:asciiTheme="majorHAnsi" w:eastAsia="仿宋" w:hAnsiTheme="majorHAnsi" w:cstheme="majorHAnsi"/>
          <w:u w:val="single"/>
        </w:rPr>
        <w:t>Fit RSRP delta CDF of LLS by Gaussian distribution</w:t>
      </w:r>
    </w:p>
    <w:p w14:paraId="09AF59AB"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Step 1: calculate RSRP delta between ideal RSRP and measured RSRP by LLS and plot CDF curve.</w:t>
      </w:r>
    </w:p>
    <w:p w14:paraId="270FA9CC"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lastRenderedPageBreak/>
        <w:t xml:space="preserve">Step 2: determine RSRP delta corresponding to 5% and 95%, which corresponding to the lower and upper limits of the 90% confidence interval. Suppose that the lower and upper limits for 5% and 95% points of CDF curve from LLS are </w:t>
      </w:r>
      <w:r w:rsidRPr="003A47A1">
        <w:rPr>
          <w:rFonts w:asciiTheme="majorHAnsi" w:hAnsiTheme="majorHAnsi"/>
          <w:i/>
          <w:iCs/>
          <w:szCs w:val="20"/>
        </w:rPr>
        <w:t>a</w:t>
      </w:r>
      <w:r w:rsidRPr="003A47A1">
        <w:rPr>
          <w:rFonts w:asciiTheme="majorHAnsi" w:hAnsiTheme="majorHAnsi"/>
          <w:szCs w:val="20"/>
        </w:rPr>
        <w:t xml:space="preserve"> and </w:t>
      </w:r>
      <w:r w:rsidRPr="003A47A1">
        <w:rPr>
          <w:rFonts w:asciiTheme="majorHAnsi" w:hAnsiTheme="majorHAnsi"/>
          <w:i/>
          <w:iCs/>
          <w:szCs w:val="20"/>
        </w:rPr>
        <w:t>b</w:t>
      </w:r>
      <w:r w:rsidRPr="003A47A1">
        <w:rPr>
          <w:rFonts w:asciiTheme="majorHAnsi" w:hAnsiTheme="majorHAnsi"/>
          <w:szCs w:val="20"/>
        </w:rPr>
        <w:t>.</w:t>
      </w:r>
    </w:p>
    <w:p w14:paraId="1EF1C53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3: Calculate the standard deviation, </w:t>
      </w:r>
      <m:oMath>
        <m:r>
          <w:rPr>
            <w:rFonts w:ascii="Cambria Math" w:hAnsi="Cambria Math"/>
            <w:szCs w:val="20"/>
          </w:rPr>
          <m:t>σ</m:t>
        </m:r>
      </m:oMath>
      <w:r w:rsidRPr="003A47A1">
        <w:rPr>
          <w:rFonts w:asciiTheme="majorHAnsi" w:hAnsiTheme="majorHAnsi"/>
          <w:szCs w:val="20"/>
        </w:rPr>
        <w:t xml:space="preserve">, for Gaussian distribution. Where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oMath>
      <w:r w:rsidRPr="003A47A1">
        <w:rPr>
          <w:rFonts w:asciiTheme="majorHAnsi" w:hAnsiTheme="majorHAnsi"/>
          <w:szCs w:val="20"/>
        </w:rPr>
        <w:t xml:space="preserve"> is the 95th percentile of the standard normal distribution, which is approximately 1.645.</w:t>
      </w:r>
    </w:p>
    <w:p w14:paraId="3C268041" w14:textId="77777777" w:rsidR="00A50502" w:rsidRPr="003A47A1" w:rsidRDefault="00A50502" w:rsidP="00A50502">
      <w:pPr>
        <w:spacing w:after="120"/>
        <w:rPr>
          <w:rFonts w:asciiTheme="majorHAnsi" w:hAnsiTheme="majorHAnsi"/>
          <w:szCs w:val="20"/>
        </w:rPr>
      </w:pPr>
      <m:oMathPara>
        <m:oMath>
          <m:r>
            <w:rPr>
              <w:rFonts w:ascii="Cambria Math" w:hAnsi="Cambria Math"/>
              <w:szCs w:val="20"/>
            </w:rPr>
            <m:t>σ=</m:t>
          </m:r>
          <m:f>
            <m:fPr>
              <m:ctrlPr>
                <w:rPr>
                  <w:rFonts w:ascii="Cambria Math" w:hAnsi="Cambria Math"/>
                  <w:i/>
                  <w:szCs w:val="20"/>
                </w:rPr>
              </m:ctrlPr>
            </m:fPr>
            <m:num>
              <m:r>
                <w:rPr>
                  <w:rFonts w:ascii="Cambria Math" w:hAnsi="Cambria Math"/>
                  <w:szCs w:val="20"/>
                </w:rPr>
                <m:t>b-a</m:t>
              </m:r>
            </m:num>
            <m:den>
              <m:r>
                <w:rPr>
                  <w:rFonts w:ascii="Cambria Math" w:hAnsi="Cambria Math"/>
                  <w:szCs w:val="20"/>
                </w:rPr>
                <m:t>2∙</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den>
          </m:f>
        </m:oMath>
      </m:oMathPara>
    </w:p>
    <w:p w14:paraId="2C1311D6" w14:textId="77777777" w:rsidR="00A50502" w:rsidRPr="003A47A1" w:rsidRDefault="00A50502" w:rsidP="00A50502">
      <w:pPr>
        <w:spacing w:beforeLines="50" w:before="120" w:after="120"/>
        <w:rPr>
          <w:rFonts w:asciiTheme="majorHAnsi" w:hAnsiTheme="majorHAnsi"/>
          <w:szCs w:val="20"/>
        </w:rPr>
      </w:pPr>
      <w:r w:rsidRPr="003A47A1">
        <w:rPr>
          <w:rFonts w:asciiTheme="majorHAnsi" w:hAnsiTheme="majorHAnsi"/>
          <w:szCs w:val="20"/>
        </w:rPr>
        <w:t xml:space="preserve">First, we derive the measured RSRP accuracy CDF for AWGN channel under SNR = -3dB obtained from LLS, where a = 1.4 and b = -1.4. then we also derive the measured RSRP accuracy CDF for TDL-C channel under SNR = -3dB obtained from LLS where a = -2.2 and b = 1.6. By step 3, </w:t>
      </w:r>
      <m:oMath>
        <m:r>
          <w:rPr>
            <w:rFonts w:ascii="Cambria Math" w:hAnsi="Cambria Math"/>
            <w:szCs w:val="20"/>
          </w:rPr>
          <m:t>σ=</m:t>
        </m:r>
      </m:oMath>
      <w:r w:rsidRPr="003A47A1">
        <w:rPr>
          <w:rFonts w:asciiTheme="majorHAnsi" w:hAnsiTheme="majorHAnsi"/>
          <w:szCs w:val="20"/>
        </w:rPr>
        <w:t xml:space="preserve">0.6245 for AWGN channel and </w:t>
      </w:r>
      <m:oMath>
        <m:r>
          <w:rPr>
            <w:rFonts w:ascii="Cambria Math" w:hAnsi="Cambria Math"/>
            <w:szCs w:val="20"/>
          </w:rPr>
          <m:t>σ=</m:t>
        </m:r>
      </m:oMath>
      <w:r w:rsidRPr="003A47A1">
        <w:rPr>
          <w:rFonts w:asciiTheme="majorHAnsi" w:hAnsiTheme="majorHAnsi"/>
          <w:szCs w:val="20"/>
        </w:rPr>
        <w:t xml:space="preserve"> 1.3341 for TDL-C.</w:t>
      </w:r>
    </w:p>
    <w:p w14:paraId="729FF8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plot the RSRP measurement delta CDF curve from LLS and the fitted curve by Gaussian distribution for AWGN and TDL-C in the following figure. It shows that Gaussian distribution can fit the measurement error models from LLS well.</w:t>
      </w:r>
    </w:p>
    <w:p w14:paraId="7E0D9526" w14:textId="77777777" w:rsidR="00A50502" w:rsidRPr="003A47A1"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59B287C6" wp14:editId="310F8D8C">
            <wp:extent cx="2014154" cy="1740783"/>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38792" cy="1762077"/>
                    </a:xfrm>
                    <a:prstGeom prst="rect">
                      <a:avLst/>
                    </a:prstGeom>
                  </pic:spPr>
                </pic:pic>
              </a:graphicData>
            </a:graphic>
          </wp:inline>
        </w:drawing>
      </w:r>
      <w:r w:rsidRPr="003A47A1">
        <w:rPr>
          <w:rFonts w:asciiTheme="majorHAnsi" w:hAnsiTheme="majorHAnsi"/>
          <w:szCs w:val="20"/>
        </w:rPr>
        <w:t xml:space="preserve">        </w:t>
      </w:r>
      <w:r w:rsidRPr="003A47A1">
        <w:rPr>
          <w:rFonts w:asciiTheme="majorHAnsi" w:hAnsiTheme="majorHAnsi"/>
          <w:noProof/>
        </w:rPr>
        <w:drawing>
          <wp:inline distT="0" distB="0" distL="0" distR="0" wp14:anchorId="3CB60CCD" wp14:editId="2F15DF41">
            <wp:extent cx="2141750" cy="17133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162022" cy="1729528"/>
                    </a:xfrm>
                    <a:prstGeom prst="rect">
                      <a:avLst/>
                    </a:prstGeom>
                  </pic:spPr>
                </pic:pic>
              </a:graphicData>
            </a:graphic>
          </wp:inline>
        </w:drawing>
      </w:r>
    </w:p>
    <w:p w14:paraId="6A1FD1CE" w14:textId="77777777" w:rsidR="00A50502" w:rsidRPr="003A47A1" w:rsidRDefault="00A50502" w:rsidP="00420833">
      <w:pPr>
        <w:pStyle w:val="a3"/>
        <w:numPr>
          <w:ilvl w:val="0"/>
          <w:numId w:val="8"/>
        </w:numPr>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AWGN                             </w:t>
      </w:r>
      <w:proofErr w:type="gramStart"/>
      <w:r w:rsidRPr="003A47A1">
        <w:rPr>
          <w:rFonts w:asciiTheme="majorHAnsi" w:eastAsia="仿宋" w:hAnsiTheme="majorHAnsi" w:cstheme="majorHAnsi"/>
        </w:rPr>
        <w:t xml:space="preserve">   (</w:t>
      </w:r>
      <w:proofErr w:type="gramEnd"/>
      <w:r w:rsidRPr="003A47A1">
        <w:rPr>
          <w:rFonts w:asciiTheme="majorHAnsi" w:eastAsia="仿宋" w:hAnsiTheme="majorHAnsi" w:cstheme="majorHAnsi"/>
        </w:rPr>
        <w:t>b) TDL-C</w:t>
      </w:r>
    </w:p>
    <w:p w14:paraId="61C0C78A" w14:textId="65E83FA3"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Fig.</w:t>
      </w:r>
      <w:r w:rsidR="00160F5B">
        <w:rPr>
          <w:rFonts w:asciiTheme="majorHAnsi" w:eastAsia="仿宋" w:hAnsiTheme="majorHAnsi" w:cstheme="majorHAnsi"/>
        </w:rPr>
        <w:t>1</w:t>
      </w:r>
      <w:r w:rsidRPr="003A47A1">
        <w:rPr>
          <w:rFonts w:asciiTheme="majorHAnsi" w:eastAsia="仿宋" w:hAnsiTheme="majorHAnsi" w:cstheme="majorHAnsi"/>
        </w:rPr>
        <w:t xml:space="preserve"> </w:t>
      </w:r>
      <w:r w:rsidRPr="003A47A1">
        <w:rPr>
          <w:rFonts w:asciiTheme="majorHAnsi" w:hAnsiTheme="majorHAnsi" w:cstheme="majorHAnsi"/>
        </w:rPr>
        <w:t>RSRP measurement delta CDF curve from LLS and fitted by Gaussian</w:t>
      </w:r>
    </w:p>
    <w:p w14:paraId="3BB3F51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also apply the different measurement error to different TX beams with different SNR conditions. Where measurement error is modeled as Gaussian distribution.</w:t>
      </w:r>
    </w:p>
    <w:p w14:paraId="01CD514A" w14:textId="54EE31A9" w:rsidR="00A50502" w:rsidRPr="00471C45"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.1 </w:t>
      </w:r>
      <w:r w:rsidRPr="00471C45">
        <w:rPr>
          <w:rFonts w:asciiTheme="majorHAnsi" w:hAnsiTheme="majorHAnsi" w:cstheme="majorHAnsi" w:hint="eastAsia"/>
          <w:sz w:val="24"/>
          <w:szCs w:val="24"/>
        </w:rPr>
        <w:t>B</w:t>
      </w:r>
      <w:r w:rsidRPr="00471C45">
        <w:rPr>
          <w:rFonts w:asciiTheme="majorHAnsi" w:hAnsiTheme="majorHAnsi" w:cstheme="majorHAnsi"/>
          <w:sz w:val="24"/>
          <w:szCs w:val="24"/>
        </w:rPr>
        <w:t>eam index prediction accuracy</w:t>
      </w:r>
    </w:p>
    <w:p w14:paraId="3CB43BA1" w14:textId="77777777" w:rsidR="00A50502" w:rsidRDefault="00A50502" w:rsidP="00A50502">
      <w:pPr>
        <w:spacing w:after="120"/>
        <w:rPr>
          <w:rFonts w:asciiTheme="majorHAnsi" w:hAnsiTheme="majorHAnsi"/>
          <w:szCs w:val="20"/>
        </w:rPr>
      </w:pPr>
      <w:r w:rsidRPr="003A47A1">
        <w:rPr>
          <w:rFonts w:asciiTheme="majorHAnsi" w:hAnsiTheme="majorHAnsi"/>
          <w:szCs w:val="20"/>
        </w:rPr>
        <w:t>The predication accuracy for all UE with largest SNR higher than -3dB is as below:</w:t>
      </w:r>
    </w:p>
    <w:p w14:paraId="69606EB9" w14:textId="77777777" w:rsidR="00A50502" w:rsidRPr="00320AEF" w:rsidRDefault="00A50502" w:rsidP="00A50502">
      <w:pPr>
        <w:spacing w:after="120"/>
        <w:rPr>
          <w:rFonts w:asciiTheme="majorHAnsi" w:hAnsiTheme="majorHAnsi"/>
          <w:b/>
          <w:bCs/>
          <w:szCs w:val="20"/>
          <w:u w:val="single"/>
        </w:rPr>
      </w:pPr>
      <w:r w:rsidRPr="00320AEF">
        <w:rPr>
          <w:rFonts w:asciiTheme="majorHAnsi" w:hAnsiTheme="majorHAnsi"/>
          <w:b/>
          <w:bCs/>
          <w:szCs w:val="20"/>
          <w:u w:val="single"/>
        </w:rPr>
        <w:t>X = 0dB</w:t>
      </w:r>
    </w:p>
    <w:p w14:paraId="33849AE1" w14:textId="77777777"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Table 1: Beam index prediction accuracy % (UEs with Highest SNR &gt;=-3dB) </w:t>
      </w:r>
    </w:p>
    <w:tbl>
      <w:tblPr>
        <w:tblStyle w:val="ad"/>
        <w:tblW w:w="0" w:type="auto"/>
        <w:tblLook w:val="04A0" w:firstRow="1" w:lastRow="0" w:firstColumn="1" w:lastColumn="0" w:noHBand="0" w:noVBand="1"/>
      </w:tblPr>
      <w:tblGrid>
        <w:gridCol w:w="1487"/>
        <w:gridCol w:w="1401"/>
        <w:gridCol w:w="1294"/>
        <w:gridCol w:w="1401"/>
        <w:gridCol w:w="1316"/>
        <w:gridCol w:w="1405"/>
        <w:gridCol w:w="1324"/>
      </w:tblGrid>
      <w:tr w:rsidR="00A50502" w:rsidRPr="003A47A1" w14:paraId="143ABE31" w14:textId="77777777" w:rsidTr="007E215B">
        <w:trPr>
          <w:trHeight w:val="585"/>
        </w:trPr>
        <w:tc>
          <w:tcPr>
            <w:tcW w:w="1487" w:type="dxa"/>
          </w:tcPr>
          <w:p w14:paraId="01368441"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401" w:type="dxa"/>
          </w:tcPr>
          <w:p w14:paraId="237C75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294" w:type="dxa"/>
          </w:tcPr>
          <w:p w14:paraId="78ABD91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401" w:type="dxa"/>
          </w:tcPr>
          <w:p w14:paraId="73B44AD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6" w:type="dxa"/>
          </w:tcPr>
          <w:p w14:paraId="66A7151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405" w:type="dxa"/>
          </w:tcPr>
          <w:p w14:paraId="32E19D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324" w:type="dxa"/>
          </w:tcPr>
          <w:p w14:paraId="145B78E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291616C7" w14:textId="77777777" w:rsidTr="007E215B">
        <w:trPr>
          <w:trHeight w:val="585"/>
        </w:trPr>
        <w:tc>
          <w:tcPr>
            <w:tcW w:w="1487" w:type="dxa"/>
          </w:tcPr>
          <w:p w14:paraId="2C9F2A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401" w:type="dxa"/>
          </w:tcPr>
          <w:p w14:paraId="711E17A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294" w:type="dxa"/>
          </w:tcPr>
          <w:p w14:paraId="2A7E72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401" w:type="dxa"/>
          </w:tcPr>
          <w:p w14:paraId="4FF8BD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6" w:type="dxa"/>
          </w:tcPr>
          <w:p w14:paraId="147B71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405" w:type="dxa"/>
          </w:tcPr>
          <w:p w14:paraId="5EC999C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324" w:type="dxa"/>
          </w:tcPr>
          <w:p w14:paraId="771CDB4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5D468531" w14:textId="77777777" w:rsidTr="007E215B">
        <w:trPr>
          <w:trHeight w:val="585"/>
        </w:trPr>
        <w:tc>
          <w:tcPr>
            <w:tcW w:w="1487" w:type="dxa"/>
          </w:tcPr>
          <w:p w14:paraId="4F74A93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401" w:type="dxa"/>
          </w:tcPr>
          <w:p w14:paraId="498D2D9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68.34</w:t>
            </w:r>
          </w:p>
        </w:tc>
        <w:tc>
          <w:tcPr>
            <w:tcW w:w="1294" w:type="dxa"/>
          </w:tcPr>
          <w:p w14:paraId="481A44E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94.38</w:t>
            </w:r>
          </w:p>
        </w:tc>
        <w:tc>
          <w:tcPr>
            <w:tcW w:w="1401" w:type="dxa"/>
          </w:tcPr>
          <w:p w14:paraId="32D15BD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88.32</w:t>
            </w:r>
          </w:p>
        </w:tc>
        <w:tc>
          <w:tcPr>
            <w:tcW w:w="1316" w:type="dxa"/>
          </w:tcPr>
          <w:p w14:paraId="24BCCA0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98.45</w:t>
            </w:r>
          </w:p>
        </w:tc>
        <w:tc>
          <w:tcPr>
            <w:tcW w:w="1405" w:type="dxa"/>
          </w:tcPr>
          <w:p w14:paraId="799F4B9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97.21</w:t>
            </w:r>
          </w:p>
        </w:tc>
        <w:tc>
          <w:tcPr>
            <w:tcW w:w="1324" w:type="dxa"/>
          </w:tcPr>
          <w:p w14:paraId="6F2443B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98.04</w:t>
            </w:r>
          </w:p>
        </w:tc>
      </w:tr>
      <w:tr w:rsidR="00A50502" w:rsidRPr="003A47A1" w14:paraId="788A5E62" w14:textId="77777777" w:rsidTr="007E215B">
        <w:trPr>
          <w:trHeight w:val="585"/>
        </w:trPr>
        <w:tc>
          <w:tcPr>
            <w:tcW w:w="1487" w:type="dxa"/>
          </w:tcPr>
          <w:p w14:paraId="75708E2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401" w:type="dxa"/>
          </w:tcPr>
          <w:p w14:paraId="7A0B4B5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49.25</w:t>
            </w:r>
          </w:p>
        </w:tc>
        <w:tc>
          <w:tcPr>
            <w:tcW w:w="1294" w:type="dxa"/>
          </w:tcPr>
          <w:p w14:paraId="1E55E6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69.84</w:t>
            </w:r>
          </w:p>
        </w:tc>
        <w:tc>
          <w:tcPr>
            <w:tcW w:w="1401" w:type="dxa"/>
          </w:tcPr>
          <w:p w14:paraId="608428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66.45</w:t>
            </w:r>
          </w:p>
        </w:tc>
        <w:tc>
          <w:tcPr>
            <w:tcW w:w="1316" w:type="dxa"/>
          </w:tcPr>
          <w:p w14:paraId="4903614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78.80</w:t>
            </w:r>
          </w:p>
        </w:tc>
        <w:tc>
          <w:tcPr>
            <w:tcW w:w="1405" w:type="dxa"/>
          </w:tcPr>
          <w:p w14:paraId="21B8005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86.79</w:t>
            </w:r>
          </w:p>
        </w:tc>
        <w:tc>
          <w:tcPr>
            <w:tcW w:w="1324" w:type="dxa"/>
          </w:tcPr>
          <w:p w14:paraId="2AF0F24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92.35</w:t>
            </w:r>
          </w:p>
        </w:tc>
      </w:tr>
      <w:tr w:rsidR="00A50502" w:rsidRPr="003A47A1" w14:paraId="4B25D8D9" w14:textId="77777777" w:rsidTr="007E215B">
        <w:trPr>
          <w:trHeight w:val="585"/>
        </w:trPr>
        <w:tc>
          <w:tcPr>
            <w:tcW w:w="1487" w:type="dxa"/>
          </w:tcPr>
          <w:p w14:paraId="6F53CD5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401" w:type="dxa"/>
          </w:tcPr>
          <w:p w14:paraId="7CF9404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45.68</w:t>
            </w:r>
          </w:p>
        </w:tc>
        <w:tc>
          <w:tcPr>
            <w:tcW w:w="1294" w:type="dxa"/>
          </w:tcPr>
          <w:p w14:paraId="012383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66.60</w:t>
            </w:r>
          </w:p>
        </w:tc>
        <w:tc>
          <w:tcPr>
            <w:tcW w:w="1401" w:type="dxa"/>
          </w:tcPr>
          <w:p w14:paraId="4A83A57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65.76</w:t>
            </w:r>
          </w:p>
        </w:tc>
        <w:tc>
          <w:tcPr>
            <w:tcW w:w="1316" w:type="dxa"/>
          </w:tcPr>
          <w:p w14:paraId="376E975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77.64</w:t>
            </w:r>
          </w:p>
        </w:tc>
        <w:tc>
          <w:tcPr>
            <w:tcW w:w="1405" w:type="dxa"/>
          </w:tcPr>
          <w:p w14:paraId="28B118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83.17</w:t>
            </w:r>
          </w:p>
        </w:tc>
        <w:tc>
          <w:tcPr>
            <w:tcW w:w="1324" w:type="dxa"/>
          </w:tcPr>
          <w:p w14:paraId="2D08F18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91.27</w:t>
            </w:r>
          </w:p>
        </w:tc>
      </w:tr>
    </w:tbl>
    <w:p w14:paraId="05FCE7C2" w14:textId="77777777" w:rsidR="00A50502" w:rsidRPr="00471C45" w:rsidRDefault="00A50502" w:rsidP="00A50502">
      <w:pPr>
        <w:spacing w:beforeLines="100" w:before="240" w:afterLines="100" w:after="240"/>
        <w:rPr>
          <w:rFonts w:asciiTheme="majorHAnsi" w:hAnsiTheme="majorHAnsi"/>
          <w:b/>
          <w:bCs/>
          <w:szCs w:val="20"/>
          <w:u w:val="single"/>
        </w:rPr>
      </w:pPr>
      <w:r w:rsidRPr="00471C45">
        <w:rPr>
          <w:rFonts w:asciiTheme="majorHAnsi" w:hAnsiTheme="majorHAnsi" w:hint="eastAsia"/>
          <w:b/>
          <w:bCs/>
          <w:szCs w:val="20"/>
          <w:u w:val="single"/>
        </w:rPr>
        <w:t>X</w:t>
      </w:r>
      <w:r w:rsidRPr="00471C45">
        <w:rPr>
          <w:rFonts w:asciiTheme="majorHAnsi" w:hAnsiTheme="majorHAnsi"/>
          <w:b/>
          <w:bCs/>
          <w:szCs w:val="20"/>
          <w:u w:val="single"/>
        </w:rPr>
        <w:t xml:space="preserve"> = 1dB</w:t>
      </w:r>
    </w:p>
    <w:p w14:paraId="5253B8AB"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                  Table 2: Beam index prediction accuracy with X=1 dB % (UEs with Highest SNR &gt;=-3dB)</w:t>
      </w:r>
    </w:p>
    <w:tbl>
      <w:tblPr>
        <w:tblStyle w:val="ad"/>
        <w:tblW w:w="0" w:type="auto"/>
        <w:jc w:val="center"/>
        <w:tblLook w:val="04A0" w:firstRow="1" w:lastRow="0" w:firstColumn="1" w:lastColumn="0" w:noHBand="0" w:noVBand="1"/>
      </w:tblPr>
      <w:tblGrid>
        <w:gridCol w:w="1974"/>
        <w:gridCol w:w="1954"/>
        <w:gridCol w:w="1954"/>
        <w:gridCol w:w="1943"/>
        <w:gridCol w:w="1803"/>
      </w:tblGrid>
      <w:tr w:rsidR="00A50502" w:rsidRPr="003A47A1" w14:paraId="082C29BF" w14:textId="77777777" w:rsidTr="007E215B">
        <w:trPr>
          <w:jc w:val="center"/>
        </w:trPr>
        <w:tc>
          <w:tcPr>
            <w:tcW w:w="1974" w:type="dxa"/>
          </w:tcPr>
          <w:p w14:paraId="70E064FD"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954" w:type="dxa"/>
          </w:tcPr>
          <w:p w14:paraId="6B8F3B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Top-1</w:t>
            </w:r>
            <w:r>
              <w:rPr>
                <w:rFonts w:asciiTheme="majorHAnsi" w:eastAsia="仿宋" w:hAnsiTheme="majorHAnsi" w:cstheme="majorHAnsi" w:hint="eastAsia"/>
              </w:rPr>
              <w:t>/</w:t>
            </w:r>
            <w:r>
              <w:rPr>
                <w:rFonts w:asciiTheme="majorHAnsi" w:eastAsia="仿宋" w:hAnsiTheme="majorHAnsi" w:cstheme="majorHAnsi"/>
              </w:rPr>
              <w:t>1</w:t>
            </w:r>
          </w:p>
        </w:tc>
        <w:tc>
          <w:tcPr>
            <w:tcW w:w="1954" w:type="dxa"/>
          </w:tcPr>
          <w:p w14:paraId="70DE95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Top-2</w:t>
            </w:r>
            <w:r>
              <w:rPr>
                <w:rFonts w:asciiTheme="majorHAnsi" w:eastAsia="仿宋" w:hAnsiTheme="majorHAnsi" w:cstheme="majorHAnsi"/>
              </w:rPr>
              <w:t>/1</w:t>
            </w:r>
          </w:p>
        </w:tc>
        <w:tc>
          <w:tcPr>
            <w:tcW w:w="1943" w:type="dxa"/>
          </w:tcPr>
          <w:p w14:paraId="261098F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803" w:type="dxa"/>
          </w:tcPr>
          <w:p w14:paraId="65C9C2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 4/2</w:t>
            </w:r>
          </w:p>
        </w:tc>
      </w:tr>
      <w:tr w:rsidR="00A50502" w:rsidRPr="003A47A1" w14:paraId="79310EF3" w14:textId="77777777" w:rsidTr="007E215B">
        <w:trPr>
          <w:jc w:val="center"/>
        </w:trPr>
        <w:tc>
          <w:tcPr>
            <w:tcW w:w="1974" w:type="dxa"/>
          </w:tcPr>
          <w:p w14:paraId="214A4A9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3A1C8AA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75</w:t>
            </w:r>
          </w:p>
        </w:tc>
        <w:tc>
          <w:tcPr>
            <w:tcW w:w="1954" w:type="dxa"/>
          </w:tcPr>
          <w:p w14:paraId="73FEFB0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85.86</w:t>
            </w:r>
          </w:p>
        </w:tc>
        <w:tc>
          <w:tcPr>
            <w:tcW w:w="1943" w:type="dxa"/>
          </w:tcPr>
          <w:p w14:paraId="17F24D9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89.80</w:t>
            </w:r>
          </w:p>
        </w:tc>
        <w:tc>
          <w:tcPr>
            <w:tcW w:w="1803" w:type="dxa"/>
          </w:tcPr>
          <w:p w14:paraId="4598278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93.15</w:t>
            </w:r>
          </w:p>
        </w:tc>
      </w:tr>
      <w:tr w:rsidR="00A50502" w:rsidRPr="003A47A1" w14:paraId="60A697D3" w14:textId="77777777" w:rsidTr="007E215B">
        <w:trPr>
          <w:jc w:val="center"/>
        </w:trPr>
        <w:tc>
          <w:tcPr>
            <w:tcW w:w="1974" w:type="dxa"/>
          </w:tcPr>
          <w:p w14:paraId="6A17873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23AB74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7618</w:t>
            </w:r>
          </w:p>
        </w:tc>
        <w:tc>
          <w:tcPr>
            <w:tcW w:w="1954" w:type="dxa"/>
          </w:tcPr>
          <w:p w14:paraId="03AC56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85.64</w:t>
            </w:r>
          </w:p>
        </w:tc>
        <w:tc>
          <w:tcPr>
            <w:tcW w:w="1943" w:type="dxa"/>
          </w:tcPr>
          <w:p w14:paraId="057E722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90.21</w:t>
            </w:r>
          </w:p>
        </w:tc>
        <w:tc>
          <w:tcPr>
            <w:tcW w:w="1803" w:type="dxa"/>
          </w:tcPr>
          <w:p w14:paraId="5EEDB78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94.08</w:t>
            </w:r>
          </w:p>
        </w:tc>
      </w:tr>
      <w:tr w:rsidR="00A50502" w:rsidRPr="003A47A1" w14:paraId="434C95E4" w14:textId="77777777" w:rsidTr="007E215B">
        <w:trPr>
          <w:jc w:val="center"/>
        </w:trPr>
        <w:tc>
          <w:tcPr>
            <w:tcW w:w="1974" w:type="dxa"/>
          </w:tcPr>
          <w:p w14:paraId="721B551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1D9B37B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76.26</w:t>
            </w:r>
          </w:p>
        </w:tc>
        <w:tc>
          <w:tcPr>
            <w:tcW w:w="1954" w:type="dxa"/>
          </w:tcPr>
          <w:p w14:paraId="66B5D09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84.42</w:t>
            </w:r>
          </w:p>
        </w:tc>
        <w:tc>
          <w:tcPr>
            <w:tcW w:w="1943" w:type="dxa"/>
          </w:tcPr>
          <w:p w14:paraId="680FC1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85.91</w:t>
            </w:r>
          </w:p>
        </w:tc>
        <w:tc>
          <w:tcPr>
            <w:tcW w:w="1803" w:type="dxa"/>
          </w:tcPr>
          <w:p w14:paraId="3F733F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92.58</w:t>
            </w:r>
          </w:p>
        </w:tc>
      </w:tr>
    </w:tbl>
    <w:p w14:paraId="6C1F2A29" w14:textId="39E50C34" w:rsidR="00A50502" w:rsidRPr="00471C45"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.2 RSRP</w:t>
      </w:r>
      <w:r w:rsidRPr="00471C45">
        <w:rPr>
          <w:rFonts w:asciiTheme="majorHAnsi" w:hAnsiTheme="majorHAnsi" w:cstheme="majorHAnsi"/>
          <w:sz w:val="24"/>
          <w:szCs w:val="24"/>
        </w:rPr>
        <w:t xml:space="preserve"> prediction accuracy</w:t>
      </w:r>
    </w:p>
    <w:p w14:paraId="02A15B0A" w14:textId="77777777" w:rsidR="00A50502" w:rsidRPr="00053C02" w:rsidRDefault="00A50502" w:rsidP="00A50502">
      <w:pPr>
        <w:pStyle w:val="a3"/>
        <w:spacing w:beforeLines="50" w:before="120" w:after="120"/>
        <w:rPr>
          <w:rFonts w:asciiTheme="majorHAnsi" w:eastAsia="仿宋" w:hAnsiTheme="majorHAnsi" w:cstheme="majorHAnsi"/>
        </w:rPr>
      </w:pPr>
      <w:r w:rsidRPr="00053C02">
        <w:rPr>
          <w:rFonts w:asciiTheme="majorHAnsi" w:eastAsia="仿宋" w:hAnsiTheme="majorHAnsi" w:cstheme="majorHAnsi" w:hint="eastAsia"/>
        </w:rPr>
        <w:t>T</w:t>
      </w:r>
      <w:r w:rsidRPr="00053C02">
        <w:rPr>
          <w:rFonts w:asciiTheme="majorHAnsi" w:eastAsia="仿宋" w:hAnsiTheme="majorHAnsi" w:cstheme="majorHAnsi"/>
        </w:rPr>
        <w:t xml:space="preserve">he </w:t>
      </w:r>
      <w:r>
        <w:rPr>
          <w:rFonts w:asciiTheme="majorHAnsi" w:eastAsia="仿宋" w:hAnsiTheme="majorHAnsi" w:cstheme="majorHAnsi"/>
        </w:rPr>
        <w:t xml:space="preserve">absolute RSRP prediction accuracy is as below: </w:t>
      </w:r>
    </w:p>
    <w:p w14:paraId="032E30BB" w14:textId="77777777" w:rsidR="00A50502" w:rsidRPr="003A47A1"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eastAsia="仿宋" w:hAnsiTheme="majorHAnsi" w:cstheme="majorHAnsi"/>
        </w:rPr>
        <w:t xml:space="preserve">Table 3: RSRP accuracy, </w:t>
      </w:r>
      <w:proofErr w:type="gramStart"/>
      <w:r w:rsidRPr="003A47A1">
        <w:rPr>
          <w:rFonts w:asciiTheme="majorHAnsi" w:eastAsia="仿宋" w:hAnsiTheme="majorHAnsi" w:cstheme="majorHAnsi"/>
        </w:rPr>
        <w:t>dB(</w:t>
      </w:r>
      <w:proofErr w:type="gramEnd"/>
      <w:r w:rsidRPr="003A47A1">
        <w:rPr>
          <w:rFonts w:asciiTheme="majorHAnsi" w:eastAsia="仿宋" w:hAnsiTheme="majorHAnsi" w:cstheme="majorHAnsi"/>
        </w:rPr>
        <w:t>UEs with Highest SNR &gt;=-3dB)</w:t>
      </w:r>
    </w:p>
    <w:tbl>
      <w:tblPr>
        <w:tblStyle w:val="ad"/>
        <w:tblW w:w="0" w:type="auto"/>
        <w:jc w:val="center"/>
        <w:tblLook w:val="04A0" w:firstRow="1" w:lastRow="0" w:firstColumn="1" w:lastColumn="0" w:noHBand="0" w:noVBand="1"/>
      </w:tblPr>
      <w:tblGrid>
        <w:gridCol w:w="1974"/>
        <w:gridCol w:w="1954"/>
        <w:gridCol w:w="1954"/>
      </w:tblGrid>
      <w:tr w:rsidR="00A50502" w:rsidRPr="003A47A1" w14:paraId="7CFA69DD" w14:textId="77777777" w:rsidTr="007E215B">
        <w:trPr>
          <w:jc w:val="center"/>
        </w:trPr>
        <w:tc>
          <w:tcPr>
            <w:tcW w:w="1974" w:type="dxa"/>
          </w:tcPr>
          <w:p w14:paraId="1E101BDA"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954" w:type="dxa"/>
          </w:tcPr>
          <w:p w14:paraId="6B09413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 </w:t>
            </w:r>
          </w:p>
        </w:tc>
        <w:tc>
          <w:tcPr>
            <w:tcW w:w="1954" w:type="dxa"/>
          </w:tcPr>
          <w:p w14:paraId="5D18016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Top-3 </w:t>
            </w:r>
          </w:p>
        </w:tc>
      </w:tr>
      <w:tr w:rsidR="00A50502" w:rsidRPr="003A47A1" w14:paraId="3CB4852C" w14:textId="77777777" w:rsidTr="007E215B">
        <w:trPr>
          <w:jc w:val="center"/>
        </w:trPr>
        <w:tc>
          <w:tcPr>
            <w:tcW w:w="1974" w:type="dxa"/>
          </w:tcPr>
          <w:p w14:paraId="2DBC2BE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26EC6CD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7.71</w:t>
            </w:r>
          </w:p>
        </w:tc>
        <w:tc>
          <w:tcPr>
            <w:tcW w:w="1954" w:type="dxa"/>
          </w:tcPr>
          <w:p w14:paraId="5717877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7.12</w:t>
            </w:r>
          </w:p>
        </w:tc>
      </w:tr>
      <w:tr w:rsidR="00A50502" w:rsidRPr="003A47A1" w14:paraId="1A6E62D5" w14:textId="77777777" w:rsidTr="007E215B">
        <w:trPr>
          <w:jc w:val="center"/>
        </w:trPr>
        <w:tc>
          <w:tcPr>
            <w:tcW w:w="1974" w:type="dxa"/>
          </w:tcPr>
          <w:p w14:paraId="7465B18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7C57E83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3.54</w:t>
            </w:r>
          </w:p>
        </w:tc>
        <w:tc>
          <w:tcPr>
            <w:tcW w:w="1954" w:type="dxa"/>
          </w:tcPr>
          <w:p w14:paraId="5373B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3.66</w:t>
            </w:r>
          </w:p>
        </w:tc>
      </w:tr>
      <w:tr w:rsidR="00A50502" w:rsidRPr="003A47A1" w14:paraId="15CA56C2" w14:textId="77777777" w:rsidTr="007E215B">
        <w:trPr>
          <w:jc w:val="center"/>
        </w:trPr>
        <w:tc>
          <w:tcPr>
            <w:tcW w:w="1974" w:type="dxa"/>
          </w:tcPr>
          <w:p w14:paraId="17D235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765AA10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8.23</w:t>
            </w:r>
          </w:p>
        </w:tc>
        <w:tc>
          <w:tcPr>
            <w:tcW w:w="1954" w:type="dxa"/>
          </w:tcPr>
          <w:p w14:paraId="0DE142B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7.72</w:t>
            </w:r>
          </w:p>
        </w:tc>
      </w:tr>
    </w:tbl>
    <w:p w14:paraId="0E6EFAE4" w14:textId="77777777" w:rsidR="00A50502" w:rsidRPr="003A47A1" w:rsidRDefault="00A50502" w:rsidP="00A50502">
      <w:pPr>
        <w:spacing w:after="120"/>
        <w:rPr>
          <w:rFonts w:asciiTheme="majorHAnsi" w:hAnsiTheme="majorHAnsi"/>
          <w:b/>
          <w:bCs/>
          <w:szCs w:val="20"/>
        </w:rPr>
      </w:pPr>
    </w:p>
    <w:p w14:paraId="529BA8F6" w14:textId="0425FDF2"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.3 </w:t>
      </w:r>
      <w:r w:rsidRPr="00E53E83">
        <w:rPr>
          <w:rFonts w:asciiTheme="majorHAnsi" w:hAnsiTheme="majorHAnsi" w:cstheme="majorHAnsi"/>
          <w:sz w:val="24"/>
          <w:szCs w:val="24"/>
        </w:rPr>
        <w:t>Factors Impacting Simulation Result Alignment</w:t>
      </w:r>
    </w:p>
    <w:p w14:paraId="38ADBEAF" w14:textId="77777777" w:rsidR="00A50502" w:rsidRPr="00C50B72" w:rsidRDefault="00A50502" w:rsidP="00A50502">
      <w:pPr>
        <w:spacing w:after="120"/>
        <w:rPr>
          <w:rFonts w:cstheme="minorHAnsi"/>
          <w:lang w:val="en-GB"/>
        </w:rPr>
      </w:pPr>
      <w:r w:rsidRPr="00C50B72">
        <w:rPr>
          <w:rFonts w:cstheme="minorHAnsi"/>
          <w:lang w:val="en-GB"/>
        </w:rPr>
        <w:t xml:space="preserve">There are </w:t>
      </w:r>
      <w:r>
        <w:rPr>
          <w:rFonts w:cstheme="minorHAnsi"/>
          <w:lang w:val="en-GB"/>
        </w:rPr>
        <w:t>several factors may have impact on the simulation result:</w:t>
      </w:r>
    </w:p>
    <w:p w14:paraId="7C7906D4" w14:textId="77777777" w:rsidR="00A50502" w:rsidRPr="00A44169" w:rsidRDefault="00A50502" w:rsidP="00420833">
      <w:pPr>
        <w:pStyle w:val="ab"/>
        <w:numPr>
          <w:ilvl w:val="3"/>
          <w:numId w:val="2"/>
        </w:numPr>
        <w:spacing w:beforeLines="100" w:before="240" w:afterLines="100" w:after="240"/>
        <w:ind w:firstLineChars="0"/>
        <w:rPr>
          <w:u w:val="single"/>
        </w:rPr>
      </w:pPr>
      <w:r w:rsidRPr="00A44169">
        <w:rPr>
          <w:u w:val="single"/>
        </w:rPr>
        <w:t>Method of Adding Measurement Error for Different TX Beams</w:t>
      </w:r>
    </w:p>
    <w:p w14:paraId="4A07E94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Currently, there are two methods to add error for BB:</w:t>
      </w:r>
    </w:p>
    <w:p w14:paraId="2C8C2E5E"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1: Apply the error distribution from the post-beamforming SNR of the strongest Tx-Rx beam pair to all Tx-Rx beam pairs in the SLS.</w:t>
      </w:r>
    </w:p>
    <w:p w14:paraId="18DB982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2: Generate an error distribution separately for each individual Tx-Rx beam pair’s SNRs and apply it to the corresponding Tx-Rx beam pair measurement in the SLS.</w:t>
      </w:r>
    </w:p>
    <w:p w14:paraId="3B67E4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These two options will significantly affect the final performance. Observations show that the SNR range for beams in set B can vary widely, often exceeding 20 </w:t>
      </w:r>
      <w:proofErr w:type="spellStart"/>
      <w:r w:rsidRPr="003A47A1">
        <w:rPr>
          <w:rFonts w:asciiTheme="majorHAnsi" w:hAnsiTheme="majorHAnsi"/>
          <w:szCs w:val="20"/>
        </w:rPr>
        <w:t>dB.</w:t>
      </w:r>
      <w:proofErr w:type="spellEnd"/>
      <w:r w:rsidRPr="003A47A1">
        <w:rPr>
          <w:rFonts w:asciiTheme="majorHAnsi" w:hAnsiTheme="majorHAnsi"/>
          <w:szCs w:val="20"/>
        </w:rPr>
        <w:t xml:space="preserve"> For instance, if the highest SNR is -3 dB, the SNR for other TX beams will be lower than -20 </w:t>
      </w:r>
      <w:proofErr w:type="spellStart"/>
      <w:r w:rsidRPr="003A47A1">
        <w:rPr>
          <w:rFonts w:asciiTheme="majorHAnsi" w:hAnsiTheme="majorHAnsi"/>
          <w:szCs w:val="20"/>
        </w:rPr>
        <w:t>dB.</w:t>
      </w:r>
      <w:proofErr w:type="spellEnd"/>
      <w:r w:rsidRPr="003A47A1">
        <w:rPr>
          <w:rFonts w:asciiTheme="majorHAnsi" w:hAnsiTheme="majorHAnsi"/>
          <w:szCs w:val="20"/>
        </w:rPr>
        <w:t xml:space="preserve"> Consequently, the measurement error distribution will differ, with varying Gaussian standard deviations.</w:t>
      </w:r>
    </w:p>
    <w:p w14:paraId="1BB623C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In order to better simulate the real implementation in real word, we suggest to generate error distributions separately for each individual Tx-Rx beam pair based on different SNRs and apply different Gaussian standard deviations to the corresponding Tx-Rx beam pair measurements in the SLS.</w:t>
      </w:r>
    </w:p>
    <w:p w14:paraId="35862C08" w14:textId="77777777" w:rsidR="00A50502" w:rsidRPr="00A44169"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A44169">
        <w:rPr>
          <w:rFonts w:ascii="Times New Roman" w:hAnsi="Times New Roman"/>
          <w:szCs w:val="20"/>
          <w:u w:val="single"/>
        </w:rPr>
        <w:t>Gaussian Standard Deviation for Different SNRs</w:t>
      </w:r>
    </w:p>
    <w:p w14:paraId="7753F9FB" w14:textId="77777777" w:rsidR="00A50502" w:rsidRPr="003A47A1" w:rsidRDefault="00A50502" w:rsidP="00A50502">
      <w:pPr>
        <w:spacing w:after="120"/>
        <w:ind w:firstLine="402"/>
        <w:rPr>
          <w:rFonts w:asciiTheme="majorHAnsi" w:hAnsiTheme="majorHAnsi"/>
          <w:szCs w:val="20"/>
        </w:rPr>
      </w:pPr>
      <w:r w:rsidRPr="003A47A1">
        <w:rPr>
          <w:rFonts w:asciiTheme="majorHAnsi" w:hAnsiTheme="majorHAnsi"/>
          <w:szCs w:val="20"/>
        </w:rPr>
        <w:t>For different TX beams, different Gaussian standard deviations will be considered. RAN4 need to discuss whether and how to align the Gaussian standard deviation of measurement error for different SNRs. The difficulty is that measurement error is highly dependent on the UE implementation, such as whether advanced noise cancellation algorithms are applied.</w:t>
      </w:r>
    </w:p>
    <w:p w14:paraId="6BAA1289"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 xml:space="preserve">Largest SNR Distribution Among All Selected UEs </w:t>
      </w:r>
    </w:p>
    <w:p w14:paraId="7695F173"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Current Assumption:</w:t>
      </w:r>
    </w:p>
    <w:p w14:paraId="715CC754"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hAnsiTheme="majorHAnsi" w:cstheme="majorHAnsi"/>
        </w:rPr>
        <w:lastRenderedPageBreak/>
        <w:t xml:space="preserve">     - The simulation assumes that the strongest SNR for selected UEs will be higher than -3 </w:t>
      </w:r>
      <w:proofErr w:type="spellStart"/>
      <w:r w:rsidRPr="003A47A1">
        <w:rPr>
          <w:rFonts w:asciiTheme="majorHAnsi" w:hAnsiTheme="majorHAnsi" w:cstheme="majorHAnsi"/>
        </w:rPr>
        <w:t>dB.</w:t>
      </w:r>
      <w:proofErr w:type="spellEnd"/>
      <w:r w:rsidRPr="003A47A1">
        <w:rPr>
          <w:rFonts w:asciiTheme="majorHAnsi" w:hAnsiTheme="majorHAnsi" w:cstheme="majorHAnsi"/>
        </w:rPr>
        <w:t xml:space="preserve"> </w:t>
      </w:r>
      <w:r w:rsidRPr="003A47A1">
        <w:rPr>
          <w:rFonts w:asciiTheme="majorHAnsi" w:eastAsia="仿宋" w:hAnsiTheme="majorHAnsi" w:cstheme="majorHAnsi"/>
        </w:rPr>
        <w:t xml:space="preserve">We generate L1-RSRP for multiple UEs and corresponding SINR for all TX beams from SLS. For AI model, the input for each UE will be 8 TX beams from set B, </w:t>
      </w:r>
      <w:proofErr w:type="gramStart"/>
      <w:r w:rsidRPr="003A47A1">
        <w:rPr>
          <w:rFonts w:asciiTheme="majorHAnsi" w:eastAsia="仿宋" w:hAnsiTheme="majorHAnsi" w:cstheme="majorHAnsi"/>
        </w:rPr>
        <w:t>i.e.</w:t>
      </w:r>
      <w:proofErr w:type="gramEnd"/>
      <w:r w:rsidRPr="003A47A1">
        <w:rPr>
          <w:rFonts w:asciiTheme="majorHAnsi" w:eastAsia="仿宋" w:hAnsiTheme="majorHAnsi" w:cstheme="majorHAnsi"/>
        </w:rPr>
        <w:t xml:space="preserve"> 8 SINRs. According to maximum SINR of each UE, we split UE into 5 groups.</w:t>
      </w:r>
    </w:p>
    <w:p w14:paraId="0F57D9C7"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1: </w:t>
      </w:r>
      <m:oMath>
        <m:r>
          <m:rPr>
            <m:sty m:val="p"/>
          </m:rPr>
          <w:rPr>
            <w:rFonts w:ascii="Cambria Math" w:hAnsi="Cambria Math" w:cstheme="majorHAnsi"/>
          </w:rPr>
          <m:t>15dB≤</m:t>
        </m:r>
      </m:oMath>
      <w:r w:rsidRPr="003A47A1">
        <w:rPr>
          <w:rFonts w:asciiTheme="majorHAnsi" w:hAnsiTheme="majorHAnsi" w:cstheme="majorHAnsi"/>
        </w:rPr>
        <w:t>maximum SINR</w:t>
      </w:r>
    </w:p>
    <w:p w14:paraId="384A6F4D"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2: </w:t>
      </w:r>
      <m:oMath>
        <m:r>
          <m:rPr>
            <m:sty m:val="p"/>
          </m:rPr>
          <w:rPr>
            <w:rFonts w:ascii="Cambria Math" w:hAnsi="Cambria Math" w:cstheme="majorHAnsi"/>
          </w:rPr>
          <m:t>10dB≤</m:t>
        </m:r>
      </m:oMath>
      <w:r w:rsidRPr="003A47A1">
        <w:rPr>
          <w:rFonts w:asciiTheme="majorHAnsi" w:hAnsiTheme="majorHAnsi" w:cstheme="majorHAnsi"/>
        </w:rPr>
        <w:t>maximum SINR&lt;15dB</w:t>
      </w:r>
    </w:p>
    <w:p w14:paraId="1A9CA5CE"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3: </w:t>
      </w:r>
      <m:oMath>
        <m:r>
          <m:rPr>
            <m:sty m:val="p"/>
          </m:rPr>
          <w:rPr>
            <w:rFonts w:ascii="Cambria Math" w:hAnsi="Cambria Math" w:cstheme="majorHAnsi"/>
          </w:rPr>
          <m:t xml:space="preserve">5dB≤maximum </m:t>
        </m:r>
      </m:oMath>
      <w:r w:rsidRPr="003A47A1">
        <w:rPr>
          <w:rFonts w:asciiTheme="majorHAnsi" w:hAnsiTheme="majorHAnsi" w:cstheme="majorHAnsi"/>
        </w:rPr>
        <w:t>SINR&lt;10dB</w:t>
      </w:r>
    </w:p>
    <w:p w14:paraId="06919898"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4: </w:t>
      </w:r>
      <m:oMath>
        <m:r>
          <m:rPr>
            <m:sty m:val="p"/>
          </m:rPr>
          <w:rPr>
            <w:rFonts w:ascii="Cambria Math" w:hAnsi="Cambria Math" w:cstheme="majorHAnsi"/>
          </w:rPr>
          <m:t xml:space="preserve">0dB≤maximum </m:t>
        </m:r>
      </m:oMath>
      <w:r w:rsidRPr="003A47A1">
        <w:rPr>
          <w:rFonts w:asciiTheme="majorHAnsi" w:hAnsiTheme="majorHAnsi" w:cstheme="majorHAnsi"/>
        </w:rPr>
        <w:t>SINR&lt;5dB</w:t>
      </w:r>
    </w:p>
    <w:p w14:paraId="1A97C102"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5: </w:t>
      </w:r>
      <m:oMath>
        <m:r>
          <m:rPr>
            <m:sty m:val="p"/>
          </m:rPr>
          <w:rPr>
            <w:rFonts w:ascii="Cambria Math" w:hAnsi="Cambria Math" w:cstheme="majorHAnsi"/>
          </w:rPr>
          <m:t xml:space="preserve">-3dB≤maximum </m:t>
        </m:r>
      </m:oMath>
      <w:r w:rsidRPr="003A47A1">
        <w:rPr>
          <w:rFonts w:asciiTheme="majorHAnsi" w:hAnsiTheme="majorHAnsi" w:cstheme="majorHAnsi"/>
        </w:rPr>
        <w:t>SINR&lt;0dB</w:t>
      </w:r>
    </w:p>
    <w:p w14:paraId="75649FCD" w14:textId="77777777" w:rsidR="00A50502" w:rsidRDefault="00A50502" w:rsidP="00A50502">
      <w:pPr>
        <w:spacing w:after="120"/>
        <w:rPr>
          <w:rFonts w:asciiTheme="majorHAnsi" w:hAnsiTheme="majorHAnsi"/>
          <w:szCs w:val="20"/>
        </w:rPr>
      </w:pPr>
    </w:p>
    <w:p w14:paraId="30537F7F" w14:textId="77777777"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T</w:t>
      </w:r>
      <w:r>
        <w:rPr>
          <w:rFonts w:asciiTheme="majorHAnsi" w:hAnsiTheme="majorHAnsi"/>
          <w:szCs w:val="20"/>
        </w:rPr>
        <w:t>able: Beam prediction accuracy for each UE groups with RF+BB error, X=0dB</w:t>
      </w:r>
    </w:p>
    <w:tbl>
      <w:tblPr>
        <w:tblStyle w:val="ad"/>
        <w:tblW w:w="9776" w:type="dxa"/>
        <w:tblLook w:val="04A0" w:firstRow="1" w:lastRow="0" w:firstColumn="1" w:lastColumn="0" w:noHBand="0" w:noVBand="1"/>
      </w:tblPr>
      <w:tblGrid>
        <w:gridCol w:w="1980"/>
        <w:gridCol w:w="1358"/>
        <w:gridCol w:w="1022"/>
        <w:gridCol w:w="1129"/>
        <w:gridCol w:w="1310"/>
        <w:gridCol w:w="1276"/>
        <w:gridCol w:w="1701"/>
      </w:tblGrid>
      <w:tr w:rsidR="00A50502" w:rsidRPr="003A47A1" w14:paraId="10C59C1B" w14:textId="77777777" w:rsidTr="007E215B">
        <w:tc>
          <w:tcPr>
            <w:tcW w:w="1980" w:type="dxa"/>
            <w:vMerge w:val="restart"/>
            <w:vAlign w:val="center"/>
          </w:tcPr>
          <w:p w14:paraId="0E4F07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hAnsiTheme="majorHAnsi" w:cstheme="majorHAnsi"/>
              </w:rPr>
              <w:t>Maximum SINR range of UE</w:t>
            </w:r>
          </w:p>
        </w:tc>
        <w:tc>
          <w:tcPr>
            <w:tcW w:w="7796" w:type="dxa"/>
            <w:gridSpan w:val="6"/>
          </w:tcPr>
          <w:p w14:paraId="08CF38E0" w14:textId="77777777" w:rsidR="00A50502" w:rsidRPr="003A47A1" w:rsidRDefault="00A50502" w:rsidP="007E215B">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Beam index Prediction accuracy % </w:t>
            </w:r>
          </w:p>
        </w:tc>
      </w:tr>
      <w:tr w:rsidR="00A50502" w:rsidRPr="003A47A1" w14:paraId="341FAFC0" w14:textId="77777777" w:rsidTr="007E215B">
        <w:tc>
          <w:tcPr>
            <w:tcW w:w="1980" w:type="dxa"/>
            <w:vMerge/>
            <w:vAlign w:val="center"/>
          </w:tcPr>
          <w:p w14:paraId="08026A2A"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358" w:type="dxa"/>
          </w:tcPr>
          <w:p w14:paraId="5FAF832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022" w:type="dxa"/>
          </w:tcPr>
          <w:p w14:paraId="6B4679D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129" w:type="dxa"/>
          </w:tcPr>
          <w:p w14:paraId="09BCA8F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0" w:type="dxa"/>
          </w:tcPr>
          <w:p w14:paraId="25ABA5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276" w:type="dxa"/>
          </w:tcPr>
          <w:p w14:paraId="4505D7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701" w:type="dxa"/>
          </w:tcPr>
          <w:p w14:paraId="0C36F9F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50B2537E" w14:textId="77777777" w:rsidTr="007E215B">
        <w:tc>
          <w:tcPr>
            <w:tcW w:w="1980" w:type="dxa"/>
            <w:vAlign w:val="center"/>
          </w:tcPr>
          <w:p w14:paraId="3EA635B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358" w:type="dxa"/>
          </w:tcPr>
          <w:p w14:paraId="0968571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022" w:type="dxa"/>
          </w:tcPr>
          <w:p w14:paraId="02E21FD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129" w:type="dxa"/>
          </w:tcPr>
          <w:p w14:paraId="37EC591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0" w:type="dxa"/>
          </w:tcPr>
          <w:p w14:paraId="0121B2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276" w:type="dxa"/>
          </w:tcPr>
          <w:p w14:paraId="04C8BFE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701" w:type="dxa"/>
          </w:tcPr>
          <w:p w14:paraId="2475A7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2DCD98C0" w14:textId="77777777" w:rsidTr="007E215B">
        <w:tc>
          <w:tcPr>
            <w:tcW w:w="1980" w:type="dxa"/>
            <w:vAlign w:val="center"/>
          </w:tcPr>
          <w:p w14:paraId="6439ED4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1</w:t>
            </w:r>
          </w:p>
        </w:tc>
        <w:tc>
          <w:tcPr>
            <w:tcW w:w="1358" w:type="dxa"/>
            <w:vAlign w:val="center"/>
          </w:tcPr>
          <w:p w14:paraId="1D51103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-10.62</w:t>
            </w:r>
          </w:p>
        </w:tc>
        <w:tc>
          <w:tcPr>
            <w:tcW w:w="1022" w:type="dxa"/>
            <w:vAlign w:val="center"/>
          </w:tcPr>
          <w:p w14:paraId="49E8E4A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-11.94</w:t>
            </w:r>
          </w:p>
        </w:tc>
        <w:tc>
          <w:tcPr>
            <w:tcW w:w="1129" w:type="dxa"/>
            <w:vAlign w:val="center"/>
          </w:tcPr>
          <w:p w14:paraId="0697C09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-11.67</w:t>
            </w:r>
          </w:p>
        </w:tc>
        <w:tc>
          <w:tcPr>
            <w:tcW w:w="1310" w:type="dxa"/>
            <w:vAlign w:val="center"/>
          </w:tcPr>
          <w:p w14:paraId="06C535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-11.89</w:t>
            </w:r>
          </w:p>
        </w:tc>
        <w:tc>
          <w:tcPr>
            <w:tcW w:w="1276" w:type="dxa"/>
            <w:vAlign w:val="center"/>
          </w:tcPr>
          <w:p w14:paraId="56AFDE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-5.85</w:t>
            </w:r>
          </w:p>
        </w:tc>
        <w:tc>
          <w:tcPr>
            <w:tcW w:w="1701" w:type="dxa"/>
            <w:vAlign w:val="center"/>
          </w:tcPr>
          <w:p w14:paraId="34048E2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-4.02</w:t>
            </w:r>
          </w:p>
        </w:tc>
      </w:tr>
      <w:tr w:rsidR="00A50502" w:rsidRPr="003A47A1" w14:paraId="7772248F" w14:textId="77777777" w:rsidTr="007E215B">
        <w:tc>
          <w:tcPr>
            <w:tcW w:w="1980" w:type="dxa"/>
            <w:vAlign w:val="center"/>
          </w:tcPr>
          <w:p w14:paraId="4369D4E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2</w:t>
            </w:r>
          </w:p>
        </w:tc>
        <w:tc>
          <w:tcPr>
            <w:tcW w:w="1358" w:type="dxa"/>
            <w:vAlign w:val="center"/>
          </w:tcPr>
          <w:p w14:paraId="4E19122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-13.21</w:t>
            </w:r>
          </w:p>
        </w:tc>
        <w:tc>
          <w:tcPr>
            <w:tcW w:w="1022" w:type="dxa"/>
            <w:vAlign w:val="center"/>
          </w:tcPr>
          <w:p w14:paraId="32DB695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-14.7</w:t>
            </w:r>
          </w:p>
        </w:tc>
        <w:tc>
          <w:tcPr>
            <w:tcW w:w="1129" w:type="dxa"/>
            <w:vAlign w:val="center"/>
          </w:tcPr>
          <w:p w14:paraId="266622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-14.89</w:t>
            </w:r>
          </w:p>
        </w:tc>
        <w:tc>
          <w:tcPr>
            <w:tcW w:w="1310" w:type="dxa"/>
            <w:vAlign w:val="center"/>
          </w:tcPr>
          <w:p w14:paraId="373CC8B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-13.09</w:t>
            </w:r>
          </w:p>
        </w:tc>
        <w:tc>
          <w:tcPr>
            <w:tcW w:w="1276" w:type="dxa"/>
            <w:vAlign w:val="center"/>
          </w:tcPr>
          <w:p w14:paraId="31EC072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-7.3</w:t>
            </w:r>
          </w:p>
        </w:tc>
        <w:tc>
          <w:tcPr>
            <w:tcW w:w="1701" w:type="dxa"/>
            <w:vAlign w:val="center"/>
          </w:tcPr>
          <w:p w14:paraId="46DBC0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-2.87</w:t>
            </w:r>
          </w:p>
        </w:tc>
      </w:tr>
      <w:tr w:rsidR="00A50502" w:rsidRPr="003A47A1" w14:paraId="1C99F6BC" w14:textId="77777777" w:rsidTr="007E215B">
        <w:tc>
          <w:tcPr>
            <w:tcW w:w="1980" w:type="dxa"/>
            <w:vAlign w:val="center"/>
          </w:tcPr>
          <w:p w14:paraId="70F171A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3</w:t>
            </w:r>
          </w:p>
        </w:tc>
        <w:tc>
          <w:tcPr>
            <w:tcW w:w="1358" w:type="dxa"/>
            <w:vAlign w:val="center"/>
          </w:tcPr>
          <w:p w14:paraId="79A2805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-19.71</w:t>
            </w:r>
          </w:p>
        </w:tc>
        <w:tc>
          <w:tcPr>
            <w:tcW w:w="1022" w:type="dxa"/>
            <w:vAlign w:val="center"/>
          </w:tcPr>
          <w:p w14:paraId="6A23687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-22.34</w:t>
            </w:r>
          </w:p>
        </w:tc>
        <w:tc>
          <w:tcPr>
            <w:tcW w:w="1129" w:type="dxa"/>
            <w:vAlign w:val="center"/>
          </w:tcPr>
          <w:p w14:paraId="6B6C9B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-21.88</w:t>
            </w:r>
          </w:p>
        </w:tc>
        <w:tc>
          <w:tcPr>
            <w:tcW w:w="1310" w:type="dxa"/>
            <w:vAlign w:val="center"/>
          </w:tcPr>
          <w:p w14:paraId="4099C65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-20.46</w:t>
            </w:r>
          </w:p>
        </w:tc>
        <w:tc>
          <w:tcPr>
            <w:tcW w:w="1276" w:type="dxa"/>
            <w:vAlign w:val="center"/>
          </w:tcPr>
          <w:p w14:paraId="665A294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-13.42</w:t>
            </w:r>
          </w:p>
        </w:tc>
        <w:tc>
          <w:tcPr>
            <w:tcW w:w="1701" w:type="dxa"/>
            <w:vAlign w:val="center"/>
          </w:tcPr>
          <w:p w14:paraId="2BEF764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-5.77</w:t>
            </w:r>
          </w:p>
        </w:tc>
      </w:tr>
      <w:tr w:rsidR="00A50502" w:rsidRPr="003A47A1" w14:paraId="4B968717" w14:textId="77777777" w:rsidTr="007E215B">
        <w:tc>
          <w:tcPr>
            <w:tcW w:w="1980" w:type="dxa"/>
            <w:vAlign w:val="center"/>
          </w:tcPr>
          <w:p w14:paraId="599B5BD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4</w:t>
            </w:r>
          </w:p>
        </w:tc>
        <w:tc>
          <w:tcPr>
            <w:tcW w:w="1358" w:type="dxa"/>
            <w:vAlign w:val="center"/>
          </w:tcPr>
          <w:p w14:paraId="381E52B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-28.26</w:t>
            </w:r>
          </w:p>
        </w:tc>
        <w:tc>
          <w:tcPr>
            <w:tcW w:w="1022" w:type="dxa"/>
            <w:vAlign w:val="center"/>
          </w:tcPr>
          <w:p w14:paraId="7E59197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-41.33</w:t>
            </w:r>
          </w:p>
        </w:tc>
        <w:tc>
          <w:tcPr>
            <w:tcW w:w="1129" w:type="dxa"/>
            <w:vAlign w:val="center"/>
          </w:tcPr>
          <w:p w14:paraId="3B33C1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-35.99</w:t>
            </w:r>
          </w:p>
        </w:tc>
        <w:tc>
          <w:tcPr>
            <w:tcW w:w="1310" w:type="dxa"/>
            <w:vAlign w:val="center"/>
          </w:tcPr>
          <w:p w14:paraId="4B9DC26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-37.67</w:t>
            </w:r>
          </w:p>
        </w:tc>
        <w:tc>
          <w:tcPr>
            <w:tcW w:w="1276" w:type="dxa"/>
            <w:vAlign w:val="center"/>
          </w:tcPr>
          <w:p w14:paraId="7E373AA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-25.09</w:t>
            </w:r>
          </w:p>
        </w:tc>
        <w:tc>
          <w:tcPr>
            <w:tcW w:w="1701" w:type="dxa"/>
            <w:vAlign w:val="center"/>
          </w:tcPr>
          <w:p w14:paraId="27D2586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-17.48</w:t>
            </w:r>
          </w:p>
        </w:tc>
      </w:tr>
      <w:tr w:rsidR="00A50502" w:rsidRPr="003A47A1" w14:paraId="1EC01A83" w14:textId="77777777" w:rsidTr="007E215B">
        <w:tc>
          <w:tcPr>
            <w:tcW w:w="1980" w:type="dxa"/>
            <w:vAlign w:val="center"/>
          </w:tcPr>
          <w:p w14:paraId="68C95A1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5</w:t>
            </w:r>
          </w:p>
        </w:tc>
        <w:tc>
          <w:tcPr>
            <w:tcW w:w="1358" w:type="dxa"/>
            <w:vAlign w:val="center"/>
          </w:tcPr>
          <w:p w14:paraId="0F9305C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-44.31</w:t>
            </w:r>
          </w:p>
        </w:tc>
        <w:tc>
          <w:tcPr>
            <w:tcW w:w="1022" w:type="dxa"/>
            <w:vAlign w:val="center"/>
          </w:tcPr>
          <w:p w14:paraId="16520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-59.34</w:t>
            </w:r>
          </w:p>
        </w:tc>
        <w:tc>
          <w:tcPr>
            <w:tcW w:w="1129" w:type="dxa"/>
            <w:vAlign w:val="center"/>
          </w:tcPr>
          <w:p w14:paraId="651137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-56.79</w:t>
            </w:r>
          </w:p>
        </w:tc>
        <w:tc>
          <w:tcPr>
            <w:tcW w:w="1310" w:type="dxa"/>
            <w:vAlign w:val="center"/>
          </w:tcPr>
          <w:p w14:paraId="608A6BE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-56.05</w:t>
            </w:r>
          </w:p>
        </w:tc>
        <w:tc>
          <w:tcPr>
            <w:tcW w:w="1276" w:type="dxa"/>
            <w:vAlign w:val="center"/>
          </w:tcPr>
          <w:p w14:paraId="395A97A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-51.19</w:t>
            </w:r>
          </w:p>
        </w:tc>
        <w:tc>
          <w:tcPr>
            <w:tcW w:w="1701" w:type="dxa"/>
            <w:vAlign w:val="center"/>
          </w:tcPr>
          <w:p w14:paraId="6378722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-46.87</w:t>
            </w:r>
          </w:p>
        </w:tc>
      </w:tr>
    </w:tbl>
    <w:p w14:paraId="4AC5CCFC" w14:textId="77777777" w:rsidR="00A50502" w:rsidRPr="003A47A1" w:rsidRDefault="00A50502" w:rsidP="00A50502">
      <w:pPr>
        <w:pStyle w:val="a3"/>
        <w:spacing w:beforeLines="50" w:before="120" w:after="120" w:line="240" w:lineRule="auto"/>
        <w:rPr>
          <w:rFonts w:asciiTheme="majorHAnsi" w:eastAsia="仿宋" w:hAnsiTheme="majorHAnsi" w:cstheme="majorHAnsi"/>
        </w:rPr>
      </w:pPr>
      <w:r w:rsidRPr="003A47A1">
        <w:rPr>
          <w:rFonts w:asciiTheme="majorHAnsi" w:eastAsia="仿宋" w:hAnsiTheme="majorHAnsi" w:cstheme="majorHAnsi"/>
        </w:rPr>
        <w:t xml:space="preserve">Note: Prediction accuracy from UE group 1 to UE group 5 is the relative degradation value compared with no </w:t>
      </w:r>
      <w:proofErr w:type="gramStart"/>
      <w:r w:rsidRPr="003A47A1">
        <w:rPr>
          <w:rFonts w:asciiTheme="majorHAnsi" w:eastAsia="仿宋" w:hAnsiTheme="majorHAnsi" w:cstheme="majorHAnsi"/>
        </w:rPr>
        <w:t>error  case</w:t>
      </w:r>
      <w:proofErr w:type="gramEnd"/>
      <w:r w:rsidRPr="003A47A1">
        <w:rPr>
          <w:rFonts w:asciiTheme="majorHAnsi" w:eastAsia="仿宋" w:hAnsiTheme="majorHAnsi" w:cstheme="majorHAnsi"/>
        </w:rPr>
        <w:t>.</w:t>
      </w:r>
    </w:p>
    <w:p w14:paraId="2155BEA2" w14:textId="15EB654B" w:rsidR="00A50502" w:rsidRPr="003A47A1" w:rsidRDefault="00A50502" w:rsidP="00A50502">
      <w:pPr>
        <w:pStyle w:val="a3"/>
        <w:spacing w:beforeLines="100" w:before="240" w:after="120" w:line="240" w:lineRule="auto"/>
        <w:rPr>
          <w:rFonts w:asciiTheme="majorHAnsi" w:hAnsiTheme="majorHAnsi" w:cstheme="majorHAnsi"/>
          <w:b/>
          <w:bCs/>
        </w:rPr>
      </w:pPr>
      <w:bookmarkStart w:id="6" w:name="OLE_LINK33"/>
      <w:r w:rsidRPr="003A47A1">
        <w:rPr>
          <w:rFonts w:asciiTheme="majorHAnsi" w:hAnsiTheme="majorHAnsi" w:cstheme="majorHAnsi"/>
          <w:b/>
          <w:bCs/>
        </w:rPr>
        <w:t xml:space="preserve">Observation </w:t>
      </w:r>
      <w:r w:rsidR="009914A4">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717F1395"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example, the Top-1/1 prediction accuracy drops by 44.31% for UE group 5 (SINR &lt; 0 dB), compared to a drop of only 10.62% for UE group 1 (SINR ≥ 15 dB).</w:t>
      </w:r>
    </w:p>
    <w:p w14:paraId="331F26F4" w14:textId="59D593C7" w:rsidR="00A50502" w:rsidRPr="003A47A1" w:rsidRDefault="00A50502" w:rsidP="00A50502">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sidR="009914A4">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bookmarkEnd w:id="6"/>
    <w:p w14:paraId="4D2620CD"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instance, UE group 1's Top-1/1 accuracy drops by 10.62% with RF+BB error, while UE group 5's drops by 44.31%.</w:t>
      </w:r>
    </w:p>
    <w:p w14:paraId="4AC54139"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This means that the RSRP prediction performance can vary substantially depending on the distribution of the maximum SNR. For example, in one scenario, most UEs have a strongest SNR around -3 dB, while in another scenario, most UEs have a strongest SNR above 10 dB, with only a few around -3 </w:t>
      </w:r>
      <w:proofErr w:type="spellStart"/>
      <w:r w:rsidRPr="003A47A1">
        <w:rPr>
          <w:rFonts w:asciiTheme="majorHAnsi" w:hAnsiTheme="majorHAnsi"/>
          <w:szCs w:val="20"/>
        </w:rPr>
        <w:t>dB.</w:t>
      </w:r>
      <w:proofErr w:type="spellEnd"/>
      <w:r w:rsidRPr="003A47A1">
        <w:rPr>
          <w:rFonts w:asciiTheme="majorHAnsi" w:hAnsiTheme="majorHAnsi"/>
          <w:szCs w:val="20"/>
        </w:rPr>
        <w:t xml:space="preserve"> This variation in the maximum SNR distribution can significantly impact the final performance. In our simulation, the largest SNR distribution is as below:</w:t>
      </w:r>
    </w:p>
    <w:p w14:paraId="0C63FF01" w14:textId="77777777" w:rsidR="00A50502" w:rsidRDefault="00A50502" w:rsidP="00A50502">
      <w:pPr>
        <w:spacing w:after="120"/>
        <w:jc w:val="center"/>
        <w:rPr>
          <w:rFonts w:asciiTheme="majorHAnsi" w:hAnsiTheme="majorHAnsi"/>
          <w:szCs w:val="20"/>
        </w:rPr>
      </w:pPr>
      <w:r w:rsidRPr="003A47A1">
        <w:rPr>
          <w:rFonts w:asciiTheme="majorHAnsi" w:hAnsiTheme="majorHAnsi"/>
          <w:noProof/>
        </w:rPr>
        <w:lastRenderedPageBreak/>
        <w:drawing>
          <wp:inline distT="0" distB="0" distL="0" distR="0" wp14:anchorId="75227EBA" wp14:editId="476495AA">
            <wp:extent cx="2702169" cy="2088731"/>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23291" cy="2105058"/>
                    </a:xfrm>
                    <a:prstGeom prst="rect">
                      <a:avLst/>
                    </a:prstGeom>
                  </pic:spPr>
                </pic:pic>
              </a:graphicData>
            </a:graphic>
          </wp:inline>
        </w:drawing>
      </w:r>
    </w:p>
    <w:p w14:paraId="733A6DED" w14:textId="25064055"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F</w:t>
      </w:r>
      <w:r>
        <w:rPr>
          <w:rFonts w:asciiTheme="majorHAnsi" w:hAnsiTheme="majorHAnsi"/>
          <w:szCs w:val="20"/>
        </w:rPr>
        <w:t xml:space="preserve">ig. </w:t>
      </w:r>
      <w:r w:rsidR="00160F5B">
        <w:rPr>
          <w:rFonts w:asciiTheme="majorHAnsi" w:hAnsiTheme="majorHAnsi"/>
          <w:szCs w:val="20"/>
        </w:rPr>
        <w:t>2 strongest SINR distribution</w:t>
      </w:r>
    </w:p>
    <w:p w14:paraId="23980F84"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Therefore, RAN4 need to align the distribution of the strongest SNR for all selected UEs.</w:t>
      </w:r>
    </w:p>
    <w:p w14:paraId="1B97FC85"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SNR Distribution for TX Beams in Set B:</w:t>
      </w:r>
    </w:p>
    <w:p w14:paraId="30BF2B5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To better align the results, it is also important to align the SNR distribution for all TX beams in set B. from our simulation, SINR distribution for 5 UE groups are plotted in Fig.3. For all UE groups. The SNR will span a large range for the best beams and worst beams in set B. if the distribution of SNR span </w:t>
      </w:r>
      <w:proofErr w:type="gramStart"/>
      <w:r w:rsidRPr="003A47A1">
        <w:rPr>
          <w:rFonts w:asciiTheme="majorHAnsi" w:hAnsiTheme="majorHAnsi"/>
          <w:szCs w:val="20"/>
        </w:rPr>
        <w:t>vary</w:t>
      </w:r>
      <w:proofErr w:type="gramEnd"/>
      <w:r w:rsidRPr="003A47A1">
        <w:rPr>
          <w:rFonts w:asciiTheme="majorHAnsi" w:hAnsiTheme="majorHAnsi"/>
          <w:szCs w:val="20"/>
        </w:rPr>
        <w:t xml:space="preserve"> a lot for different companies, it’s also difficult to align the result.</w:t>
      </w:r>
    </w:p>
    <w:p w14:paraId="30EDBAB0" w14:textId="701120FA" w:rsidR="00A50502"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hAnsiTheme="majorHAnsi" w:cstheme="majorHAnsi"/>
          <w:noProof/>
        </w:rPr>
        <w:drawing>
          <wp:inline distT="0" distB="0" distL="0" distR="0" wp14:anchorId="78CE6A67" wp14:editId="21D4F4D8">
            <wp:extent cx="2528046" cy="2004834"/>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2874" cy="2032454"/>
                    </a:xfrm>
                    <a:prstGeom prst="rect">
                      <a:avLst/>
                    </a:prstGeom>
                  </pic:spPr>
                </pic:pic>
              </a:graphicData>
            </a:graphic>
          </wp:inline>
        </w:drawing>
      </w:r>
    </w:p>
    <w:p w14:paraId="5C2B1C6B" w14:textId="59B01643" w:rsidR="002E1DCD" w:rsidRPr="002E1DCD" w:rsidRDefault="002E1DCD" w:rsidP="00A50502">
      <w:pPr>
        <w:pStyle w:val="a3"/>
        <w:spacing w:beforeLines="50" w:before="120" w:after="120"/>
        <w:jc w:val="center"/>
        <w:rPr>
          <w:rFonts w:asciiTheme="majorHAnsi" w:eastAsia="仿宋" w:hAnsiTheme="majorHAnsi" w:cstheme="majorHAnsi" w:hint="eastAsia"/>
        </w:rPr>
      </w:pPr>
      <w:r w:rsidRPr="002E1DCD">
        <w:rPr>
          <w:rFonts w:asciiTheme="majorHAnsi" w:eastAsia="仿宋" w:hAnsiTheme="majorHAnsi" w:cstheme="majorHAnsi" w:hint="eastAsia"/>
        </w:rPr>
        <w:t>F</w:t>
      </w:r>
      <w:r w:rsidRPr="002E1DCD">
        <w:rPr>
          <w:rFonts w:asciiTheme="majorHAnsi" w:eastAsia="仿宋" w:hAnsiTheme="majorHAnsi" w:cstheme="majorHAnsi"/>
        </w:rPr>
        <w:t>ig.3</w:t>
      </w:r>
      <w:r>
        <w:rPr>
          <w:rFonts w:asciiTheme="majorHAnsi" w:eastAsia="仿宋" w:hAnsiTheme="majorHAnsi" w:cstheme="majorHAnsi"/>
        </w:rPr>
        <w:t xml:space="preserve"> </w:t>
      </w:r>
    </w:p>
    <w:p w14:paraId="2B1FB9DF" w14:textId="77777777" w:rsidR="00A50502" w:rsidRPr="003A47A1" w:rsidRDefault="00A50502" w:rsidP="00A50502">
      <w:pPr>
        <w:pStyle w:val="a3"/>
        <w:spacing w:beforeLines="50" w:before="120" w:after="120"/>
        <w:rPr>
          <w:rFonts w:asciiTheme="majorHAnsi" w:hAnsiTheme="majorHAnsi" w:cstheme="majorHAnsi"/>
        </w:rPr>
      </w:pPr>
      <w:r w:rsidRPr="003A47A1">
        <w:rPr>
          <w:rFonts w:asciiTheme="majorHAnsi" w:hAnsiTheme="majorHAnsi" w:cstheme="majorHAnsi"/>
        </w:rPr>
        <w:t>To better align the results, it is crucial to align the SNR distribution for all TX beams in set B. From our simulation, the SINR distribution for the five UE groups is plotted in Fig. 3. For all UE groups, the SNR spans a wide range, from the best beams to the worst beams in set B. If the SNR distribution varies significantly across different companies, it becomes challenging to align the results.</w:t>
      </w:r>
    </w:p>
    <w:p w14:paraId="7B2A61DF" w14:textId="1D17D829" w:rsidR="00A50502" w:rsidRPr="003A47A1" w:rsidRDefault="00A50502" w:rsidP="00A50502">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sidR="009914A4">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bookmarkEnd w:id="5"/>
    <w:p w14:paraId="23F99B41" w14:textId="569550E6" w:rsidR="00A50502" w:rsidRDefault="00A50502" w:rsidP="00A50502">
      <w:pPr>
        <w:spacing w:after="120"/>
        <w:rPr>
          <w:rFonts w:asciiTheme="majorHAnsi" w:hAnsiTheme="majorHAnsi"/>
          <w:szCs w:val="20"/>
        </w:rPr>
      </w:pPr>
      <w:r w:rsidRPr="003A47A1">
        <w:rPr>
          <w:rFonts w:asciiTheme="majorHAnsi" w:hAnsiTheme="majorHAnsi"/>
          <w:szCs w:val="20"/>
        </w:rPr>
        <w:t>To ensure consistent and reliable simulation results, we recommend that RAN4 align the following factors:</w:t>
      </w:r>
    </w:p>
    <w:p w14:paraId="676A9F33" w14:textId="77777777" w:rsidR="005B2839" w:rsidRPr="003A47A1" w:rsidRDefault="005B2839" w:rsidP="005B2839">
      <w:pPr>
        <w:spacing w:after="120"/>
        <w:rPr>
          <w:rFonts w:asciiTheme="majorHAnsi" w:hAnsiTheme="majorHAnsi"/>
          <w:b/>
          <w:bCs/>
          <w:szCs w:val="20"/>
        </w:rPr>
      </w:pPr>
      <w:r w:rsidRPr="003A47A1">
        <w:rPr>
          <w:rFonts w:asciiTheme="majorHAnsi" w:hAnsiTheme="majorHAnsi"/>
          <w:b/>
          <w:bCs/>
          <w:szCs w:val="20"/>
        </w:rPr>
        <w:t>Proposal</w:t>
      </w:r>
      <w:r>
        <w:rPr>
          <w:rFonts w:asciiTheme="majorHAnsi" w:hAnsiTheme="majorHAnsi"/>
          <w:b/>
          <w:bCs/>
          <w:szCs w:val="20"/>
        </w:rPr>
        <w:t xml:space="preserve"> 4</w:t>
      </w:r>
      <w:r w:rsidRPr="003A47A1">
        <w:rPr>
          <w:rFonts w:asciiTheme="majorHAnsi" w:hAnsiTheme="majorHAnsi"/>
          <w:b/>
          <w:bCs/>
          <w:szCs w:val="20"/>
        </w:rPr>
        <w:t>: To ensure consistent and reliable simulation results, we recommend that RAN4 align the following factors:</w:t>
      </w:r>
    </w:p>
    <w:p w14:paraId="006A53E1"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0A2084E1" w14:textId="77777777" w:rsidR="005B2839" w:rsidRPr="00E634D8" w:rsidRDefault="005B2839" w:rsidP="00420833">
      <w:pPr>
        <w:pStyle w:val="a3"/>
        <w:numPr>
          <w:ilvl w:val="2"/>
          <w:numId w:val="17"/>
        </w:numPr>
        <w:spacing w:after="120" w:line="240" w:lineRule="auto"/>
        <w:rPr>
          <w:rFonts w:asciiTheme="majorHAnsi" w:hAnsiTheme="majorHAnsi" w:cstheme="majorHAnsi"/>
          <w:b/>
          <w:bCs/>
        </w:rPr>
      </w:pPr>
      <w:r w:rsidRPr="00A041AB">
        <w:rPr>
          <w:rFonts w:asciiTheme="majorHAnsi" w:hAnsiTheme="majorHAnsi" w:cstheme="majorHAnsi"/>
          <w:b/>
          <w:bCs/>
        </w:rPr>
        <w:t>Generate error distributions separately for each individual Tx-Rx beam pair based on different SNRs and apply different Gaussian standard deviations to the corresponding Tx-Rx beam pair measurements in the SLS.</w:t>
      </w:r>
    </w:p>
    <w:p w14:paraId="1C9670AD" w14:textId="77777777" w:rsidR="005B2839" w:rsidRPr="003A47A1" w:rsidRDefault="005B2839" w:rsidP="00420833">
      <w:pPr>
        <w:pStyle w:val="a3"/>
        <w:numPr>
          <w:ilvl w:val="0"/>
          <w:numId w:val="14"/>
        </w:numPr>
        <w:spacing w:after="120" w:line="240" w:lineRule="auto"/>
        <w:rPr>
          <w:rFonts w:asciiTheme="majorHAnsi" w:hAnsiTheme="majorHAnsi"/>
          <w:b/>
          <w:bCs/>
        </w:rPr>
      </w:pPr>
      <w:r w:rsidRPr="009325EF">
        <w:rPr>
          <w:rFonts w:asciiTheme="majorHAnsi" w:hAnsiTheme="majorHAnsi" w:cstheme="majorHAnsi"/>
          <w:b/>
          <w:bCs/>
        </w:rPr>
        <w:lastRenderedPageBreak/>
        <w:t>2. Gaussian Standard Deviation for Different SNRs</w:t>
      </w:r>
    </w:p>
    <w:p w14:paraId="526D6005"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490986BB"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3. Largest SNR Distribution Among All Selected UEs</w:t>
      </w:r>
    </w:p>
    <w:p w14:paraId="0D828D1A"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646BD7C3"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18415252"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394D5961" w14:textId="77777777" w:rsidR="005B2839" w:rsidRPr="005B2839" w:rsidRDefault="005B2839" w:rsidP="00A50502">
      <w:pPr>
        <w:spacing w:after="120"/>
        <w:rPr>
          <w:rFonts w:asciiTheme="majorHAnsi" w:hAnsiTheme="majorHAnsi"/>
          <w:szCs w:val="20"/>
        </w:rPr>
      </w:pPr>
    </w:p>
    <w:p w14:paraId="4A487F8C"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Conclusion</w:t>
      </w:r>
    </w:p>
    <w:p w14:paraId="5A51F29A" w14:textId="241BAEFE" w:rsidR="00A50502" w:rsidRDefault="00A50502" w:rsidP="00A50502">
      <w:pPr>
        <w:overflowPunct w:val="0"/>
        <w:autoSpaceDE w:val="0"/>
        <w:autoSpaceDN w:val="0"/>
        <w:adjustRightInd w:val="0"/>
        <w:spacing w:before="120" w:after="120" w:line="288" w:lineRule="auto"/>
        <w:textAlignment w:val="baseline"/>
        <w:rPr>
          <w:rFonts w:asciiTheme="majorHAnsi" w:hAnsiTheme="majorHAnsi"/>
          <w:bCs/>
          <w:szCs w:val="20"/>
        </w:rPr>
      </w:pPr>
      <w:r w:rsidRPr="003A47A1">
        <w:rPr>
          <w:rFonts w:asciiTheme="majorHAnsi" w:hAnsiTheme="majorHAnsi"/>
          <w:bCs/>
          <w:szCs w:val="20"/>
        </w:rPr>
        <w:t>In this contribution, we provide the following proposals:</w:t>
      </w:r>
    </w:p>
    <w:p w14:paraId="13E76012" w14:textId="77777777" w:rsidR="009914A4" w:rsidRPr="003A47A1" w:rsidRDefault="009914A4" w:rsidP="009914A4">
      <w:pPr>
        <w:spacing w:afterLines="100" w:after="240"/>
        <w:textAlignment w:val="center"/>
        <w:rPr>
          <w:rFonts w:asciiTheme="majorHAnsi" w:hAnsiTheme="majorHAnsi"/>
          <w:szCs w:val="20"/>
          <w:highlight w:val="yellow"/>
        </w:rPr>
      </w:pPr>
      <w:r w:rsidRPr="003A47A1">
        <w:rPr>
          <w:rFonts w:asciiTheme="majorHAnsi" w:hAnsiTheme="majorHAnsi"/>
          <w:b/>
          <w:bCs/>
          <w:lang w:val="en-GB"/>
        </w:rPr>
        <w:t xml:space="preserve">Observation </w:t>
      </w:r>
      <w:r>
        <w:rPr>
          <w:rFonts w:asciiTheme="majorHAnsi" w:hAnsiTheme="majorHAnsi"/>
          <w:b/>
          <w:bCs/>
          <w:lang w:val="en-GB"/>
        </w:rPr>
        <w:t>1</w:t>
      </w:r>
      <w:r w:rsidRPr="003A47A1">
        <w:rPr>
          <w:rFonts w:asciiTheme="majorHAnsi" w:hAnsiTheme="majorHAnsi"/>
          <w:b/>
          <w:bCs/>
          <w:lang w:val="en-GB"/>
        </w:rPr>
        <w:t xml:space="preserve">: The similar metric Top-K/M is agreed in RAN1 performance monitoring, where </w:t>
      </w:r>
      <w:r w:rsidRPr="003A47A1">
        <w:rPr>
          <w:rFonts w:asciiTheme="majorHAnsi" w:hAnsiTheme="majorHAnsi"/>
          <w:b/>
          <w:bCs/>
          <w:szCs w:val="20"/>
        </w:rPr>
        <w:t xml:space="preserve">at least one of the Top M </w:t>
      </w:r>
      <w:proofErr w:type="gramStart"/>
      <w:r w:rsidRPr="003A47A1">
        <w:rPr>
          <w:rFonts w:asciiTheme="majorHAnsi" w:hAnsiTheme="majorHAnsi"/>
          <w:b/>
          <w:bCs/>
          <w:szCs w:val="20"/>
        </w:rPr>
        <w:t>beam</w:t>
      </w:r>
      <w:proofErr w:type="gramEnd"/>
      <w:r w:rsidRPr="003A47A1">
        <w:rPr>
          <w:rFonts w:asciiTheme="majorHAnsi" w:hAnsiTheme="majorHAnsi"/>
          <w:b/>
          <w:bCs/>
          <w:szCs w:val="20"/>
        </w:rPr>
        <w:t>(s) of the resource set(s) for monitoring is among Top-K predicted beam(s).</w:t>
      </w:r>
    </w:p>
    <w:p w14:paraId="7348DBBB" w14:textId="77777777" w:rsidR="009914A4" w:rsidRDefault="009914A4" w:rsidP="009914A4">
      <w:pPr>
        <w:pStyle w:val="a3"/>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r>
        <w:rPr>
          <w:rFonts w:asciiTheme="majorHAnsi" w:hAnsiTheme="majorHAnsi" w:cstheme="majorHAnsi"/>
          <w:b/>
          <w:bCs/>
        </w:rPr>
        <w:t>In order to align with RAN1, Beam index prediction definition should include both original option 2 and option 3:</w:t>
      </w:r>
    </w:p>
    <w:p w14:paraId="4D228CD2" w14:textId="77777777" w:rsidR="009914A4" w:rsidRDefault="009914A4" w:rsidP="00420833">
      <w:pPr>
        <w:pStyle w:val="a3"/>
        <w:numPr>
          <w:ilvl w:val="0"/>
          <w:numId w:val="14"/>
        </w:numPr>
        <w:spacing w:after="120" w:line="240" w:lineRule="auto"/>
        <w:rPr>
          <w:rFonts w:asciiTheme="majorHAnsi" w:hAnsiTheme="majorHAnsi" w:cstheme="majorHAnsi"/>
          <w:b/>
          <w:bCs/>
        </w:rPr>
      </w:pPr>
      <w:r>
        <w:rPr>
          <w:rFonts w:asciiTheme="majorHAnsi" w:hAnsiTheme="majorHAnsi" w:cstheme="majorHAnsi"/>
          <w:b/>
          <w:bCs/>
        </w:rPr>
        <w:t>For X value: keep both X = 0 and X=1dB.</w:t>
      </w:r>
    </w:p>
    <w:p w14:paraId="41811FBE" w14:textId="77777777" w:rsidR="009914A4" w:rsidRDefault="009914A4" w:rsidP="00420833">
      <w:pPr>
        <w:pStyle w:val="a3"/>
        <w:numPr>
          <w:ilvl w:val="0"/>
          <w:numId w:val="14"/>
        </w:numPr>
        <w:spacing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11AB927E" w14:textId="77777777" w:rsidR="009914A4" w:rsidRDefault="009914A4" w:rsidP="00420833">
      <w:pPr>
        <w:pStyle w:val="a3"/>
        <w:numPr>
          <w:ilvl w:val="1"/>
          <w:numId w:val="14"/>
        </w:numPr>
        <w:spacing w:after="120" w:line="240" w:lineRule="auto"/>
        <w:rPr>
          <w:rFonts w:asciiTheme="majorHAnsi" w:hAnsiTheme="majorHAnsi" w:cstheme="majorHAnsi"/>
          <w:b/>
          <w:bCs/>
        </w:rPr>
      </w:pPr>
      <w:r>
        <w:rPr>
          <w:rFonts w:asciiTheme="majorHAnsi" w:hAnsiTheme="majorHAnsi" w:cstheme="majorHAnsi"/>
          <w:b/>
          <w:bCs/>
        </w:rPr>
        <w:t>When X = 1 dB, N = 1.</w:t>
      </w:r>
    </w:p>
    <w:p w14:paraId="7E1FB6C6" w14:textId="77777777" w:rsidR="009914A4" w:rsidRPr="006A33BE" w:rsidRDefault="009914A4" w:rsidP="00420833">
      <w:pPr>
        <w:pStyle w:val="a3"/>
        <w:numPr>
          <w:ilvl w:val="1"/>
          <w:numId w:val="14"/>
        </w:numPr>
        <w:spacing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0858B7CC" w14:textId="77777777" w:rsidR="009914A4" w:rsidRPr="003A47A1" w:rsidRDefault="009914A4" w:rsidP="009914A4">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2</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6D7DC831" w14:textId="77777777" w:rsidR="009914A4" w:rsidRPr="0087251E" w:rsidRDefault="009914A4" w:rsidP="009914A4">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44102EE" w14:textId="77777777" w:rsidR="009914A4" w:rsidRDefault="009914A4" w:rsidP="009914A4">
      <w:pPr>
        <w:spacing w:afterLines="100" w:after="240"/>
        <w:rPr>
          <w:rFonts w:asciiTheme="majorHAnsi" w:hAnsiTheme="majorHAnsi"/>
          <w:b/>
          <w:bCs/>
          <w:szCs w:val="20"/>
        </w:rPr>
      </w:pPr>
      <w:r>
        <w:rPr>
          <w:rFonts w:asciiTheme="majorHAnsi" w:hAnsiTheme="majorHAnsi"/>
          <w:b/>
          <w:bCs/>
          <w:szCs w:val="20"/>
        </w:rPr>
        <w:t>Proposal 3: For relative predicted RSRP accuracy, define unified definition for both BM-case 1 and BM-case 2:</w:t>
      </w:r>
    </w:p>
    <w:p w14:paraId="0D1A383C" w14:textId="77777777" w:rsidR="009914A4" w:rsidRPr="00825F2C" w:rsidRDefault="009914A4" w:rsidP="009914A4">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41EC0C1F" w14:textId="77777777" w:rsidR="009914A4" w:rsidRPr="00825F2C" w:rsidRDefault="009914A4" w:rsidP="009914A4">
      <w:pPr>
        <w:pStyle w:val="a3"/>
        <w:spacing w:after="120" w:line="240" w:lineRule="auto"/>
        <w:jc w:val="both"/>
        <w:rPr>
          <w:rFonts w:asciiTheme="majorHAnsi" w:eastAsia="仿宋" w:hAnsiTheme="majorHAnsi" w:cstheme="majorHAnsi"/>
          <w:b/>
          <w:bCs/>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70EB0F3B" w14:textId="77777777" w:rsidR="00160F5B" w:rsidRPr="003A47A1" w:rsidRDefault="00160F5B" w:rsidP="00160F5B">
      <w:pPr>
        <w:pStyle w:val="a3"/>
        <w:spacing w:beforeLines="100" w:before="24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144119B9" w14:textId="77777777" w:rsidR="00160F5B" w:rsidRPr="003A47A1" w:rsidRDefault="00160F5B" w:rsidP="00160F5B">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p w14:paraId="7D198611" w14:textId="77777777" w:rsidR="009325EF" w:rsidRPr="003A47A1" w:rsidRDefault="009325EF" w:rsidP="009325EF">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p w14:paraId="4AF15C6E" w14:textId="77777777" w:rsidR="009325EF" w:rsidRPr="003A47A1" w:rsidRDefault="009325EF" w:rsidP="009325EF">
      <w:pPr>
        <w:spacing w:after="120"/>
        <w:rPr>
          <w:rFonts w:asciiTheme="majorHAnsi" w:hAnsiTheme="majorHAnsi"/>
          <w:b/>
          <w:bCs/>
          <w:szCs w:val="20"/>
        </w:rPr>
      </w:pPr>
      <w:r w:rsidRPr="003A47A1">
        <w:rPr>
          <w:rFonts w:asciiTheme="majorHAnsi" w:hAnsiTheme="majorHAnsi"/>
          <w:b/>
          <w:bCs/>
          <w:szCs w:val="20"/>
        </w:rPr>
        <w:t>Proposal</w:t>
      </w:r>
      <w:r>
        <w:rPr>
          <w:rFonts w:asciiTheme="majorHAnsi" w:hAnsiTheme="majorHAnsi"/>
          <w:b/>
          <w:bCs/>
          <w:szCs w:val="20"/>
        </w:rPr>
        <w:t xml:space="preserve"> 4</w:t>
      </w:r>
      <w:r w:rsidRPr="003A47A1">
        <w:rPr>
          <w:rFonts w:asciiTheme="majorHAnsi" w:hAnsiTheme="majorHAnsi"/>
          <w:b/>
          <w:bCs/>
          <w:szCs w:val="20"/>
        </w:rPr>
        <w:t>: To ensure consistent and reliable simulation results, we recommend that RAN4 align the following factors:</w:t>
      </w:r>
    </w:p>
    <w:p w14:paraId="2873D1E9" w14:textId="201A4832"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7E48AB56" w14:textId="4FABE004" w:rsidR="009325EF" w:rsidRPr="00E634D8" w:rsidRDefault="009325EF" w:rsidP="00420833">
      <w:pPr>
        <w:pStyle w:val="a3"/>
        <w:numPr>
          <w:ilvl w:val="2"/>
          <w:numId w:val="17"/>
        </w:numPr>
        <w:spacing w:after="120" w:line="240" w:lineRule="auto"/>
        <w:rPr>
          <w:rFonts w:asciiTheme="majorHAnsi" w:hAnsiTheme="majorHAnsi" w:cstheme="majorHAnsi"/>
          <w:b/>
          <w:bCs/>
        </w:rPr>
      </w:pPr>
      <w:r w:rsidRPr="00A041AB">
        <w:rPr>
          <w:rFonts w:asciiTheme="majorHAnsi" w:hAnsiTheme="majorHAnsi" w:cstheme="majorHAnsi"/>
          <w:b/>
          <w:bCs/>
        </w:rPr>
        <w:t>Generate error distributions separately for each individual Tx-Rx beam pair based on different SNRs and apply different Gaussian standard deviations to the corresponding Tx-Rx beam pair measurements in the SLS.</w:t>
      </w:r>
    </w:p>
    <w:p w14:paraId="44E1FE53" w14:textId="77777777" w:rsidR="009325EF" w:rsidRPr="003A47A1" w:rsidRDefault="009325EF" w:rsidP="00420833">
      <w:pPr>
        <w:pStyle w:val="a3"/>
        <w:numPr>
          <w:ilvl w:val="0"/>
          <w:numId w:val="14"/>
        </w:numPr>
        <w:spacing w:after="120" w:line="240" w:lineRule="auto"/>
        <w:rPr>
          <w:rFonts w:asciiTheme="majorHAnsi" w:hAnsiTheme="majorHAnsi"/>
          <w:b/>
          <w:bCs/>
        </w:rPr>
      </w:pPr>
      <w:r w:rsidRPr="009325EF">
        <w:rPr>
          <w:rFonts w:asciiTheme="majorHAnsi" w:hAnsiTheme="majorHAnsi" w:cstheme="majorHAnsi"/>
          <w:b/>
          <w:bCs/>
        </w:rPr>
        <w:t>2. Gaussian Standard Deviation for Different SNRs</w:t>
      </w:r>
    </w:p>
    <w:p w14:paraId="2CE68833" w14:textId="0FBDC7FB"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2303E266" w14:textId="77777777"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lastRenderedPageBreak/>
        <w:t>3. Largest SNR Distribution Among All Selected UEs</w:t>
      </w:r>
    </w:p>
    <w:p w14:paraId="67111CAC" w14:textId="64313ADB"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1685E67A" w14:textId="77777777"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29E790B1" w14:textId="66A1B1DC"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55151193" w14:textId="77777777" w:rsidR="009914A4" w:rsidRPr="009325EF" w:rsidRDefault="009914A4" w:rsidP="00A50502">
      <w:pPr>
        <w:overflowPunct w:val="0"/>
        <w:autoSpaceDE w:val="0"/>
        <w:autoSpaceDN w:val="0"/>
        <w:adjustRightInd w:val="0"/>
        <w:spacing w:before="120" w:after="120" w:line="288" w:lineRule="auto"/>
        <w:textAlignment w:val="baseline"/>
        <w:rPr>
          <w:rFonts w:asciiTheme="majorHAnsi" w:hAnsiTheme="majorHAnsi"/>
          <w:bCs/>
          <w:szCs w:val="20"/>
        </w:rPr>
      </w:pPr>
    </w:p>
    <w:p w14:paraId="5B1C4F78"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 xml:space="preserve">Reference </w:t>
      </w:r>
    </w:p>
    <w:p w14:paraId="6821827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[1] R1-2501595, FL summary 6 for AI/ML in beam management</w:t>
      </w:r>
    </w:p>
    <w:p w14:paraId="6895E657" w14:textId="77777777" w:rsidR="00A50502" w:rsidRPr="003A47A1" w:rsidRDefault="00A50502" w:rsidP="00A50502">
      <w:pPr>
        <w:overflowPunct w:val="0"/>
        <w:autoSpaceDE w:val="0"/>
        <w:autoSpaceDN w:val="0"/>
        <w:adjustRightInd w:val="0"/>
        <w:spacing w:before="240" w:after="120"/>
        <w:textAlignment w:val="baseline"/>
        <w:rPr>
          <w:rFonts w:asciiTheme="majorHAnsi" w:hAnsiTheme="majorHAnsi"/>
          <w:szCs w:val="20"/>
        </w:rPr>
      </w:pPr>
    </w:p>
    <w:p w14:paraId="7A865947" w14:textId="77777777" w:rsidR="00BF0A93" w:rsidRPr="00A50502" w:rsidRDefault="00BF0A93">
      <w:pPr>
        <w:spacing w:before="156" w:after="120"/>
      </w:pPr>
    </w:p>
    <w:sectPr w:rsidR="00BF0A93" w:rsidRPr="00A50502">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西文标题)">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D1D6" w14:textId="77777777" w:rsidR="006718E3" w:rsidRDefault="00420833">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8B11" w14:textId="77777777" w:rsidR="006718E3" w:rsidRDefault="00420833">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69C5" w14:textId="77777777" w:rsidR="006718E3" w:rsidRDefault="00420833">
    <w:pPr>
      <w:pStyle w:val="af0"/>
      <w:spacing w:after="12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7835" w14:textId="77777777" w:rsidR="006718E3" w:rsidRDefault="00420833">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9F35" w14:textId="77777777" w:rsidR="006718E3" w:rsidRDefault="00420833">
    <w:pPr>
      <w:pStyle w:val="ae"/>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378A" w14:textId="77777777" w:rsidR="006718E3" w:rsidRDefault="00420833">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896240"/>
    <w:multiLevelType w:val="hybridMultilevel"/>
    <w:tmpl w:val="4B9ABEC4"/>
    <w:lvl w:ilvl="0" w:tplc="F03AA9EC">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81070"/>
    <w:multiLevelType w:val="hybridMultilevel"/>
    <w:tmpl w:val="B498C160"/>
    <w:lvl w:ilvl="0" w:tplc="34E0C4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05F3C"/>
    <w:multiLevelType w:val="hybridMultilevel"/>
    <w:tmpl w:val="E2B26224"/>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1EB26B1"/>
    <w:multiLevelType w:val="hybridMultilevel"/>
    <w:tmpl w:val="06B00B5A"/>
    <w:lvl w:ilvl="0" w:tplc="20363314">
      <w:start w:val="1"/>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1" w15:restartNumberingAfterBreak="0">
    <w:nsid w:val="45F45384"/>
    <w:multiLevelType w:val="hybridMultilevel"/>
    <w:tmpl w:val="218689BA"/>
    <w:lvl w:ilvl="0" w:tplc="B9BCD5DE">
      <w:start w:val="2"/>
      <w:numFmt w:val="bullet"/>
      <w:lvlText w:val="-"/>
      <w:lvlJc w:val="left"/>
      <w:pPr>
        <w:ind w:left="360" w:hanging="360"/>
      </w:pPr>
      <w:rPr>
        <w:rFonts w:ascii="Times New Roman" w:eastAsiaTheme="minorEastAsia"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054B85"/>
    <w:multiLevelType w:val="hybridMultilevel"/>
    <w:tmpl w:val="801C3D30"/>
    <w:lvl w:ilvl="0" w:tplc="9D50B3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8483C"/>
    <w:multiLevelType w:val="hybridMultilevel"/>
    <w:tmpl w:val="B2D8A0F2"/>
    <w:lvl w:ilvl="0" w:tplc="0409000B">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 w15:restartNumberingAfterBreak="0">
    <w:nsid w:val="65856793"/>
    <w:multiLevelType w:val="hybridMultilevel"/>
    <w:tmpl w:val="810E5BD6"/>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16" w15:restartNumberingAfterBreak="0">
    <w:nsid w:val="744B43F2"/>
    <w:multiLevelType w:val="hybridMultilevel"/>
    <w:tmpl w:val="BF70D70A"/>
    <w:lvl w:ilvl="0" w:tplc="AF549E0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8"/>
  </w:num>
  <w:num w:numId="2">
    <w:abstractNumId w:val="9"/>
  </w:num>
  <w:num w:numId="3">
    <w:abstractNumId w:val="0"/>
  </w:num>
  <w:num w:numId="4">
    <w:abstractNumId w:val="10"/>
  </w:num>
  <w:num w:numId="5">
    <w:abstractNumId w:val="2"/>
  </w:num>
  <w:num w:numId="6">
    <w:abstractNumId w:val="1"/>
  </w:num>
  <w:num w:numId="7">
    <w:abstractNumId w:val="15"/>
  </w:num>
  <w:num w:numId="8">
    <w:abstractNumId w:val="3"/>
  </w:num>
  <w:num w:numId="9">
    <w:abstractNumId w:val="4"/>
  </w:num>
  <w:num w:numId="10">
    <w:abstractNumId w:val="7"/>
  </w:num>
  <w:num w:numId="11">
    <w:abstractNumId w:val="5"/>
  </w:num>
  <w:num w:numId="12">
    <w:abstractNumId w:val="16"/>
  </w:num>
  <w:num w:numId="13">
    <w:abstractNumId w:val="13"/>
  </w:num>
  <w:num w:numId="14">
    <w:abstractNumId w:val="6"/>
  </w:num>
  <w:num w:numId="15">
    <w:abstractNumId w:val="11"/>
  </w:num>
  <w:num w:numId="16">
    <w:abstractNumId w:val="12"/>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02"/>
    <w:rsid w:val="00033FF9"/>
    <w:rsid w:val="00160F5B"/>
    <w:rsid w:val="001C0F9B"/>
    <w:rsid w:val="002E1DCD"/>
    <w:rsid w:val="00413193"/>
    <w:rsid w:val="00420833"/>
    <w:rsid w:val="0047499B"/>
    <w:rsid w:val="004E4BE5"/>
    <w:rsid w:val="005B2839"/>
    <w:rsid w:val="00620E71"/>
    <w:rsid w:val="006C4A9E"/>
    <w:rsid w:val="00746739"/>
    <w:rsid w:val="008601BE"/>
    <w:rsid w:val="009325EF"/>
    <w:rsid w:val="009914A4"/>
    <w:rsid w:val="00A041AB"/>
    <w:rsid w:val="00A50502"/>
    <w:rsid w:val="00B44B7B"/>
    <w:rsid w:val="00BF0A93"/>
    <w:rsid w:val="00C33F49"/>
    <w:rsid w:val="00C630E7"/>
    <w:rsid w:val="00E0166D"/>
    <w:rsid w:val="00E634D8"/>
    <w:rsid w:val="00EC7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A9AB2"/>
  <w15:chartTrackingRefBased/>
  <w15:docId w15:val="{45B5043E-389B-4975-BEA8-C2384D02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西文标题)"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0502"/>
    <w:rPr>
      <w:rFonts w:asciiTheme="minorHAnsi" w:eastAsiaTheme="minorEastAsia" w:hAnsiTheme="minorHAnsi" w:cstheme="majorHAnsi"/>
      <w:kern w:val="2"/>
      <w:szCs w:val="21"/>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C630E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C630E7"/>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C630E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C630E7"/>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C630E7"/>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C630E7"/>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C630E7"/>
    <w:pPr>
      <w:numPr>
        <w:ilvl w:val="7"/>
      </w:numPr>
      <w:outlineLvl w:val="7"/>
    </w:pPr>
  </w:style>
  <w:style w:type="paragraph" w:styleId="9">
    <w:name w:val="heading 9"/>
    <w:basedOn w:val="8"/>
    <w:next w:val="a"/>
    <w:link w:val="90"/>
    <w:qFormat/>
    <w:rsid w:val="00C630E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
    <w:name w:val="TAH"/>
    <w:basedOn w:val="TAC"/>
    <w:link w:val="TAHCar"/>
    <w:qFormat/>
    <w:rsid w:val="00C630E7"/>
    <w:rPr>
      <w:b/>
    </w:rPr>
  </w:style>
  <w:style w:type="character" w:customStyle="1" w:styleId="TAHCar">
    <w:name w:val="TAH Car"/>
    <w:link w:val="TAH"/>
    <w:qFormat/>
    <w:rsid w:val="00C630E7"/>
    <w:rPr>
      <w:rFonts w:ascii="Arial" w:eastAsia="宋体" w:hAnsi="Arial" w:cs="Times New Roman"/>
      <w:b/>
      <w:kern w:val="0"/>
      <w:sz w:val="18"/>
      <w:szCs w:val="20"/>
      <w:lang w:val="en-GB" w:eastAsia="en-US"/>
    </w:rPr>
  </w:style>
  <w:style w:type="paragraph" w:customStyle="1" w:styleId="TAC">
    <w:name w:val="TAC"/>
    <w:basedOn w:val="a"/>
    <w:link w:val="TACChar"/>
    <w:qFormat/>
    <w:rsid w:val="00C630E7"/>
    <w:pPr>
      <w:keepNext/>
      <w:keepLines/>
      <w:jc w:val="center"/>
    </w:pPr>
    <w:rPr>
      <w:rFonts w:ascii="Arial" w:hAnsi="Arial" w:cs="Times New Roman"/>
      <w:sz w:val="18"/>
      <w:szCs w:val="20"/>
      <w:lang w:val="en-GB" w:eastAsia="en-US"/>
    </w:rPr>
  </w:style>
  <w:style w:type="character" w:customStyle="1" w:styleId="TACChar">
    <w:name w:val="TAC Char"/>
    <w:link w:val="TAC"/>
    <w:qFormat/>
    <w:rsid w:val="00C630E7"/>
    <w:rPr>
      <w:rFonts w:ascii="Arial" w:eastAsia="宋体" w:hAnsi="Arial" w:cs="Times New Roman"/>
      <w:kern w:val="0"/>
      <w:sz w:val="18"/>
      <w:szCs w:val="20"/>
      <w:lang w:val="en-GB" w:eastAsia="en-US"/>
    </w:rPr>
  </w:style>
  <w:style w:type="paragraph" w:customStyle="1" w:styleId="CRCoverPage">
    <w:name w:val="CR Cover Page"/>
    <w:qFormat/>
    <w:rsid w:val="00C630E7"/>
    <w:pPr>
      <w:spacing w:after="120"/>
    </w:pPr>
    <w:rPr>
      <w:rFonts w:ascii="Arial" w:eastAsia="Times New Roman" w:hAnsi="Arial"/>
      <w:lang w:val="en-GB" w:eastAsia="en-US"/>
    </w:rPr>
  </w:style>
  <w:style w:type="paragraph" w:customStyle="1" w:styleId="B1">
    <w:name w:val="B1"/>
    <w:basedOn w:val="a"/>
    <w:link w:val="B10"/>
    <w:qFormat/>
    <w:rsid w:val="00C630E7"/>
    <w:pPr>
      <w:spacing w:after="180"/>
      <w:ind w:left="568" w:hanging="284"/>
    </w:pPr>
    <w:rPr>
      <w:rFonts w:ascii="Times New Roman" w:eastAsia="MS Mincho" w:hAnsi="Times New Roman" w:cs="Times New Roman"/>
      <w:szCs w:val="20"/>
      <w:lang w:val="en-GB" w:eastAsia="en-US"/>
    </w:rPr>
  </w:style>
  <w:style w:type="character" w:customStyle="1" w:styleId="B10">
    <w:name w:val="B1 (文字)"/>
    <w:link w:val="B1"/>
    <w:qFormat/>
    <w:rsid w:val="00C630E7"/>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C630E7"/>
    <w:pPr>
      <w:spacing w:after="180"/>
      <w:ind w:left="851" w:hanging="284"/>
    </w:pPr>
    <w:rPr>
      <w:rFonts w:ascii="Times New Roman" w:eastAsia="MS Mincho" w:hAnsi="Times New Roman" w:cs="Times New Roman"/>
      <w:szCs w:val="20"/>
      <w:lang w:val="en-GB" w:eastAsia="en-US"/>
    </w:rPr>
  </w:style>
  <w:style w:type="character" w:customStyle="1" w:styleId="B2Char">
    <w:name w:val="B2 Char"/>
    <w:link w:val="B2"/>
    <w:qFormat/>
    <w:rsid w:val="00C630E7"/>
    <w:rPr>
      <w:rFonts w:ascii="Times New Roman" w:eastAsia="MS Mincho" w:hAnsi="Times New Roman" w:cs="Times New Roman"/>
      <w:kern w:val="0"/>
      <w:sz w:val="20"/>
      <w:szCs w:val="20"/>
      <w:lang w:val="en-GB" w:eastAsia="en-US"/>
    </w:rPr>
  </w:style>
  <w:style w:type="character" w:customStyle="1" w:styleId="B1Char">
    <w:name w:val="B1 Char"/>
    <w:qFormat/>
    <w:rsid w:val="00C630E7"/>
    <w:rPr>
      <w:lang w:val="en-GB"/>
    </w:rPr>
  </w:style>
  <w:style w:type="paragraph" w:customStyle="1" w:styleId="TH">
    <w:name w:val="TH"/>
    <w:basedOn w:val="a"/>
    <w:link w:val="THChar"/>
    <w:qFormat/>
    <w:rsid w:val="00C630E7"/>
    <w:pPr>
      <w:keepNext/>
      <w:keepLines/>
      <w:spacing w:before="60" w:after="180"/>
      <w:jc w:val="center"/>
    </w:pPr>
    <w:rPr>
      <w:rFonts w:ascii="Arial" w:eastAsia="Malgun Gothic" w:hAnsi="Arial" w:cs="Times New Roman"/>
      <w:b/>
      <w:szCs w:val="20"/>
      <w:lang w:val="en-GB" w:eastAsia="x-none"/>
    </w:rPr>
  </w:style>
  <w:style w:type="character" w:customStyle="1" w:styleId="THChar">
    <w:name w:val="TH Char"/>
    <w:link w:val="TH"/>
    <w:qFormat/>
    <w:locked/>
    <w:rsid w:val="00C630E7"/>
    <w:rPr>
      <w:rFonts w:ascii="Arial" w:eastAsia="Malgun Gothic" w:hAnsi="Arial" w:cs="Times New Roman"/>
      <w:b/>
      <w:kern w:val="0"/>
      <w:sz w:val="20"/>
      <w:szCs w:val="20"/>
      <w:lang w:val="en-GB" w:eastAsia="x-none"/>
    </w:rPr>
  </w:style>
  <w:style w:type="paragraph" w:customStyle="1" w:styleId="TF">
    <w:name w:val="TF"/>
    <w:aliases w:val="left"/>
    <w:basedOn w:val="TH"/>
    <w:link w:val="TFChar"/>
    <w:qFormat/>
    <w:rsid w:val="00C630E7"/>
    <w:pPr>
      <w:keepNext w:val="0"/>
      <w:spacing w:before="0" w:after="240"/>
    </w:pPr>
  </w:style>
  <w:style w:type="character" w:customStyle="1" w:styleId="TFChar">
    <w:name w:val="TF Char"/>
    <w:link w:val="TF"/>
    <w:qFormat/>
    <w:rsid w:val="00C630E7"/>
    <w:rPr>
      <w:rFonts w:ascii="Arial" w:eastAsia="Malgun Gothic" w:hAnsi="Arial" w:cs="Times New Roman"/>
      <w:b/>
      <w:kern w:val="0"/>
      <w:sz w:val="20"/>
      <w:szCs w:val="20"/>
      <w:lang w:val="en-GB" w:eastAsia="x-none"/>
    </w:rPr>
  </w:style>
  <w:style w:type="paragraph" w:customStyle="1" w:styleId="TAL">
    <w:name w:val="TAL"/>
    <w:basedOn w:val="a"/>
    <w:link w:val="TALChar"/>
    <w:qFormat/>
    <w:rsid w:val="00C630E7"/>
    <w:pPr>
      <w:keepNext/>
      <w:keepLines/>
    </w:pPr>
    <w:rPr>
      <w:rFonts w:ascii="Arial" w:eastAsia="Times New Roman" w:hAnsi="Arial" w:cs="Times New Roman"/>
      <w:sz w:val="18"/>
      <w:szCs w:val="20"/>
      <w:lang w:val="en-GB" w:eastAsia="en-US"/>
    </w:rPr>
  </w:style>
  <w:style w:type="character" w:customStyle="1" w:styleId="TALChar">
    <w:name w:val="TAL Char"/>
    <w:link w:val="TAL"/>
    <w:rsid w:val="00C630E7"/>
    <w:rPr>
      <w:rFonts w:ascii="Arial" w:eastAsia="Times New Roman" w:hAnsi="Arial" w:cs="Times New Roman"/>
      <w:kern w:val="0"/>
      <w:sz w:val="18"/>
      <w:szCs w:val="20"/>
      <w:lang w:val="en-GB" w:eastAsia="en-US"/>
    </w:rPr>
  </w:style>
  <w:style w:type="paragraph" w:customStyle="1" w:styleId="a3">
    <w:name w:val="缺省文本"/>
    <w:basedOn w:val="a"/>
    <w:qFormat/>
    <w:rsid w:val="00C630E7"/>
    <w:pPr>
      <w:widowControl w:val="0"/>
      <w:autoSpaceDE w:val="0"/>
      <w:autoSpaceDN w:val="0"/>
      <w:adjustRightInd w:val="0"/>
      <w:spacing w:line="360" w:lineRule="auto"/>
    </w:pPr>
    <w:rPr>
      <w:rFonts w:ascii="Times New Roman" w:hAnsi="Times New Roman" w:cs="Times New Roman"/>
      <w:szCs w:val="2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630E7"/>
    <w:rPr>
      <w:rFonts w:eastAsia="宋体"/>
      <w:lang w:eastAsia="ja-JP"/>
    </w:rPr>
  </w:style>
  <w:style w:type="paragraph" w:customStyle="1" w:styleId="00Text">
    <w:name w:val="00_Text"/>
    <w:basedOn w:val="a"/>
    <w:link w:val="00TextChar"/>
    <w:qFormat/>
    <w:rsid w:val="00C630E7"/>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C630E7"/>
    <w:rPr>
      <w:rFonts w:ascii="Times New Roman" w:eastAsia="宋体" w:hAnsi="Times New Roman" w:cs="Times New Roman"/>
      <w:kern w:val="0"/>
      <w:sz w:val="20"/>
      <w:szCs w:val="24"/>
    </w:rPr>
  </w:style>
  <w:style w:type="character" w:customStyle="1" w:styleId="Char">
    <w:name w:val="列出段落 Char"/>
    <w:aliases w:val="- Bullets Char,목록 단락 Char,?? ?? Char,????? Char,リスト段落 Char,???? Char,Lista1 Char,彩色列表 - 强调文字颜色 1 Char"/>
    <w:uiPriority w:val="34"/>
    <w:qFormat/>
    <w:locked/>
    <w:rsid w:val="00C630E7"/>
    <w:rPr>
      <w:rFonts w:ascii="Calibri" w:eastAsia="Calibri" w:hAnsi="Calibri"/>
      <w:sz w:val="22"/>
      <w:szCs w:val="22"/>
      <w:lang w:eastAsia="en-US"/>
    </w:rPr>
  </w:style>
  <w:style w:type="paragraph" w:customStyle="1" w:styleId="Proposal">
    <w:name w:val="Proposal"/>
    <w:basedOn w:val="a4"/>
    <w:link w:val="ProposalChar"/>
    <w:qFormat/>
    <w:rsid w:val="00C630E7"/>
    <w:pPr>
      <w:numPr>
        <w:numId w:val="1"/>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C630E7"/>
    <w:rPr>
      <w:rFonts w:asciiTheme="minorHAnsi" w:eastAsiaTheme="minorEastAsia" w:hAnsiTheme="minorHAnsi" w:cstheme="minorBidi"/>
      <w:b/>
      <w:bCs/>
      <w:kern w:val="2"/>
      <w:sz w:val="22"/>
      <w:szCs w:val="22"/>
      <w14:ligatures w14:val="standardContextual"/>
    </w:rPr>
  </w:style>
  <w:style w:type="paragraph" w:styleId="a4">
    <w:name w:val="Body Text"/>
    <w:basedOn w:val="a"/>
    <w:link w:val="a5"/>
    <w:uiPriority w:val="99"/>
    <w:semiHidden/>
    <w:unhideWhenUsed/>
    <w:rsid w:val="004E4BE5"/>
    <w:pPr>
      <w:spacing w:after="120"/>
    </w:pPr>
  </w:style>
  <w:style w:type="character" w:customStyle="1" w:styleId="a5">
    <w:name w:val="正文文本 字符"/>
    <w:basedOn w:val="a0"/>
    <w:link w:val="a4"/>
    <w:uiPriority w:val="99"/>
    <w:semiHidden/>
    <w:rsid w:val="004E4BE5"/>
  </w:style>
  <w:style w:type="character" w:customStyle="1" w:styleId="B3Char">
    <w:name w:val="B3 Char"/>
    <w:qFormat/>
    <w:locked/>
    <w:rsid w:val="00C630E7"/>
    <w:rPr>
      <w:rFonts w:eastAsia="Times New Roman"/>
      <w:lang w:eastAsia="en-GB"/>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630E7"/>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630E7"/>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C630E7"/>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630E7"/>
    <w:rPr>
      <w:rFonts w:ascii="Times New Roman" w:eastAsia="Arial" w:hAnsi="Times New Roman" w:cs="Arial"/>
      <w:kern w:val="0"/>
      <w:sz w:val="24"/>
      <w:szCs w:val="20"/>
      <w:lang w:val="en-GB"/>
    </w:rPr>
  </w:style>
  <w:style w:type="character" w:customStyle="1" w:styleId="50">
    <w:name w:val="标题 5 字符"/>
    <w:basedOn w:val="a0"/>
    <w:link w:val="5"/>
    <w:uiPriority w:val="9"/>
    <w:rsid w:val="00C630E7"/>
    <w:rPr>
      <w:rFonts w:asciiTheme="majorHAnsi" w:eastAsiaTheme="majorEastAsia" w:hAnsiTheme="majorHAnsi" w:cstheme="majorBidi"/>
      <w:color w:val="2F5496" w:themeColor="accent1" w:themeShade="BF"/>
      <w:kern w:val="0"/>
      <w:sz w:val="24"/>
      <w:szCs w:val="24"/>
    </w:rPr>
  </w:style>
  <w:style w:type="character" w:customStyle="1" w:styleId="70">
    <w:name w:val="标题 7 字符"/>
    <w:basedOn w:val="a0"/>
    <w:link w:val="7"/>
    <w:rsid w:val="00C630E7"/>
    <w:rPr>
      <w:rFonts w:ascii="Arial" w:eastAsia="Arial" w:hAnsi="Arial" w:cs="Arial"/>
      <w:kern w:val="0"/>
      <w:sz w:val="20"/>
      <w:szCs w:val="20"/>
      <w:lang w:val="en-GB"/>
    </w:rPr>
  </w:style>
  <w:style w:type="character" w:customStyle="1" w:styleId="80">
    <w:name w:val="标题 8 字符"/>
    <w:basedOn w:val="a0"/>
    <w:link w:val="8"/>
    <w:rsid w:val="00C630E7"/>
    <w:rPr>
      <w:rFonts w:ascii="Arial" w:eastAsia="Arial" w:hAnsi="Arial" w:cs="Arial"/>
      <w:kern w:val="0"/>
      <w:sz w:val="36"/>
      <w:szCs w:val="20"/>
      <w:lang w:val="en-GB"/>
    </w:rPr>
  </w:style>
  <w:style w:type="character" w:customStyle="1" w:styleId="90">
    <w:name w:val="标题 9 字符"/>
    <w:basedOn w:val="a0"/>
    <w:link w:val="9"/>
    <w:rsid w:val="00C630E7"/>
    <w:rPr>
      <w:rFonts w:ascii="Arial" w:eastAsia="Arial" w:hAnsi="Arial" w:cs="Arial"/>
      <w:kern w:val="0"/>
      <w:sz w:val="36"/>
      <w:szCs w:val="20"/>
      <w:lang w:val="en-GB"/>
    </w:rPr>
  </w:style>
  <w:style w:type="paragraph" w:styleId="a6">
    <w:name w:val="caption"/>
    <w:aliases w:val="cap,cap Char,Caption Char1 Char,cap Char Char1,Caption Char Char1 Char,cap Char2,条目"/>
    <w:basedOn w:val="a"/>
    <w:next w:val="a"/>
    <w:link w:val="a7"/>
    <w:uiPriority w:val="8"/>
    <w:unhideWhenUsed/>
    <w:qFormat/>
    <w:rsid w:val="00C630E7"/>
    <w:pPr>
      <w:spacing w:after="180" w:line="278" w:lineRule="auto"/>
      <w:jc w:val="center"/>
    </w:pPr>
    <w:rPr>
      <w:rFonts w:ascii="Times New Roman" w:eastAsia="Malgun Gothic" w:hAnsi="Times New Roman" w:cs="Times New Roman"/>
      <w:b/>
      <w:bCs/>
      <w:szCs w:val="20"/>
      <w:lang w:eastAsia="ko-KR"/>
    </w:rPr>
  </w:style>
  <w:style w:type="character" w:customStyle="1" w:styleId="a7">
    <w:name w:val="题注 字符"/>
    <w:aliases w:val="cap 字符,cap Char 字符,Caption Char1 Char 字符,cap Char Char1 字符,Caption Char Char1 Char 字符,cap Char2 字符,条目 字符"/>
    <w:link w:val="a6"/>
    <w:uiPriority w:val="8"/>
    <w:qFormat/>
    <w:rsid w:val="00C630E7"/>
    <w:rPr>
      <w:rFonts w:ascii="Times New Roman" w:eastAsia="Malgun Gothic" w:hAnsi="Times New Roman" w:cs="Times New Roman"/>
      <w:b/>
      <w:bCs/>
      <w:kern w:val="0"/>
      <w:sz w:val="20"/>
      <w:szCs w:val="20"/>
      <w:lang w:eastAsia="ko-KR"/>
    </w:rPr>
  </w:style>
  <w:style w:type="paragraph" w:styleId="a8">
    <w:name w:val="Date"/>
    <w:basedOn w:val="a"/>
    <w:next w:val="a"/>
    <w:link w:val="a9"/>
    <w:uiPriority w:val="99"/>
    <w:unhideWhenUsed/>
    <w:qFormat/>
    <w:rsid w:val="00C630E7"/>
    <w:pPr>
      <w:spacing w:after="180"/>
      <w:ind w:leftChars="2500" w:left="100"/>
    </w:pPr>
    <w:rPr>
      <w:rFonts w:ascii="Times New Roman" w:hAnsi="Times New Roman" w:cs="Times New Roman"/>
      <w:szCs w:val="20"/>
      <w:lang w:val="en-GB" w:eastAsia="en-US"/>
    </w:rPr>
  </w:style>
  <w:style w:type="character" w:customStyle="1" w:styleId="a9">
    <w:name w:val="日期 字符"/>
    <w:basedOn w:val="a0"/>
    <w:link w:val="a8"/>
    <w:uiPriority w:val="99"/>
    <w:qFormat/>
    <w:rsid w:val="00C630E7"/>
    <w:rPr>
      <w:rFonts w:ascii="Times New Roman" w:eastAsia="宋体" w:hAnsi="Times New Roman" w:cs="Times New Roman"/>
      <w:kern w:val="0"/>
      <w:sz w:val="20"/>
      <w:szCs w:val="20"/>
      <w:lang w:val="en-GB" w:eastAsia="en-US"/>
    </w:rPr>
  </w:style>
  <w:style w:type="character" w:styleId="aa">
    <w:name w:val="Strong"/>
    <w:basedOn w:val="a0"/>
    <w:uiPriority w:val="22"/>
    <w:qFormat/>
    <w:rsid w:val="00C630E7"/>
    <w:rPr>
      <w:b/>
      <w:bCs/>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c"/>
    <w:uiPriority w:val="34"/>
    <w:qFormat/>
    <w:rsid w:val="00C630E7"/>
    <w:pPr>
      <w:ind w:firstLineChars="200" w:firstLine="420"/>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b"/>
    <w:uiPriority w:val="34"/>
    <w:qFormat/>
    <w:locked/>
    <w:rsid w:val="00C630E7"/>
    <w:rPr>
      <w:rFonts w:ascii="宋体" w:eastAsia="宋体" w:hAnsi="宋体" w:cs="宋体"/>
      <w:kern w:val="0"/>
      <w:sz w:val="24"/>
      <w:szCs w:val="24"/>
    </w:rPr>
  </w:style>
  <w:style w:type="table" w:styleId="ad">
    <w:name w:val="Table Grid"/>
    <w:aliases w:val="TableGrid"/>
    <w:basedOn w:val="a1"/>
    <w:uiPriority w:val="59"/>
    <w:qFormat/>
    <w:rsid w:val="00A505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A50502"/>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A50502"/>
    <w:rPr>
      <w:rFonts w:asciiTheme="minorHAnsi" w:eastAsiaTheme="minorEastAsia" w:hAnsiTheme="minorHAnsi" w:cstheme="majorHAnsi"/>
      <w:kern w:val="2"/>
      <w:sz w:val="18"/>
      <w:szCs w:val="18"/>
    </w:rPr>
  </w:style>
  <w:style w:type="paragraph" w:styleId="af0">
    <w:name w:val="footer"/>
    <w:basedOn w:val="a"/>
    <w:link w:val="af1"/>
    <w:uiPriority w:val="99"/>
    <w:unhideWhenUsed/>
    <w:rsid w:val="00A50502"/>
    <w:pPr>
      <w:tabs>
        <w:tab w:val="center" w:pos="4153"/>
        <w:tab w:val="right" w:pos="8306"/>
      </w:tabs>
      <w:snapToGrid w:val="0"/>
    </w:pPr>
    <w:rPr>
      <w:sz w:val="18"/>
      <w:szCs w:val="18"/>
    </w:rPr>
  </w:style>
  <w:style w:type="character" w:customStyle="1" w:styleId="af1">
    <w:name w:val="页脚 字符"/>
    <w:basedOn w:val="a0"/>
    <w:link w:val="af0"/>
    <w:uiPriority w:val="99"/>
    <w:rsid w:val="00A50502"/>
    <w:rPr>
      <w:rFonts w:asciiTheme="minorHAnsi" w:eastAsiaTheme="minorEastAsia" w:hAnsiTheme="minorHAnsi" w:cstheme="majorHAnsi"/>
      <w:kern w:val="2"/>
      <w:sz w:val="18"/>
      <w:szCs w:val="18"/>
    </w:rPr>
  </w:style>
  <w:style w:type="paragraph" w:customStyle="1" w:styleId="ZT">
    <w:name w:val="ZT"/>
    <w:rsid w:val="00A50502"/>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B3">
    <w:name w:val="B3"/>
    <w:basedOn w:val="a"/>
    <w:link w:val="B3Char2"/>
    <w:rsid w:val="00A50502"/>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d"/>
    <w:uiPriority w:val="39"/>
    <w:qFormat/>
    <w:rsid w:val="00A5050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2"/>
    <w:rsid w:val="00A50502"/>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3Char2">
    <w:name w:val="B3 Char2"/>
    <w:link w:val="B3"/>
    <w:rsid w:val="00A50502"/>
    <w:rPr>
      <w:rFonts w:eastAsia="MS Mincho"/>
      <w:kern w:val="2"/>
      <w:lang w:val="en-GB" w:eastAsia="en-US"/>
    </w:rPr>
  </w:style>
  <w:style w:type="paragraph" w:styleId="42">
    <w:name w:val="List 4"/>
    <w:basedOn w:val="a"/>
    <w:uiPriority w:val="99"/>
    <w:semiHidden/>
    <w:unhideWhenUsed/>
    <w:rsid w:val="00A50502"/>
    <w:pPr>
      <w:ind w:left="1132" w:hanging="283"/>
      <w:contextualSpacing/>
    </w:pPr>
  </w:style>
  <w:style w:type="paragraph" w:styleId="af2">
    <w:name w:val="Normal (Web)"/>
    <w:basedOn w:val="a"/>
    <w:uiPriority w:val="99"/>
    <w:unhideWhenUsed/>
    <w:rsid w:val="00A50502"/>
    <w:pPr>
      <w:spacing w:before="100" w:beforeAutospacing="1" w:after="100" w:afterAutospacing="1"/>
    </w:pPr>
  </w:style>
  <w:style w:type="character" w:customStyle="1" w:styleId="katex-mathml">
    <w:name w:val="katex-mathml"/>
    <w:basedOn w:val="a0"/>
    <w:rsid w:val="00A50502"/>
  </w:style>
  <w:style w:type="character" w:customStyle="1" w:styleId="mord">
    <w:name w:val="mord"/>
    <w:basedOn w:val="a0"/>
    <w:rsid w:val="00A50502"/>
  </w:style>
  <w:style w:type="paragraph" w:customStyle="1" w:styleId="TAN">
    <w:name w:val="TAN"/>
    <w:basedOn w:val="TAL"/>
    <w:link w:val="TANChar"/>
    <w:rsid w:val="00A50502"/>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A50502"/>
    <w:rPr>
      <w:rFonts w:ascii="Arial" w:eastAsia="Times New Roman" w:hAnsi="Arial"/>
      <w:kern w:val="2"/>
      <w:sz w:val="18"/>
      <w:lang w:val="en-GB" w:eastAsia="en-GB"/>
    </w:rPr>
  </w:style>
  <w:style w:type="character" w:styleId="af3">
    <w:name w:val="annotation reference"/>
    <w:basedOn w:val="a0"/>
    <w:uiPriority w:val="99"/>
    <w:semiHidden/>
    <w:unhideWhenUsed/>
    <w:rsid w:val="00A50502"/>
    <w:rPr>
      <w:sz w:val="21"/>
      <w:szCs w:val="21"/>
    </w:rPr>
  </w:style>
  <w:style w:type="paragraph" w:styleId="af4">
    <w:name w:val="annotation text"/>
    <w:basedOn w:val="a"/>
    <w:link w:val="af5"/>
    <w:uiPriority w:val="99"/>
    <w:semiHidden/>
    <w:unhideWhenUsed/>
    <w:rsid w:val="00A50502"/>
  </w:style>
  <w:style w:type="character" w:customStyle="1" w:styleId="af5">
    <w:name w:val="批注文字 字符"/>
    <w:basedOn w:val="a0"/>
    <w:link w:val="af4"/>
    <w:uiPriority w:val="99"/>
    <w:semiHidden/>
    <w:rsid w:val="00A50502"/>
    <w:rPr>
      <w:rFonts w:asciiTheme="minorHAnsi" w:eastAsiaTheme="minorEastAsia" w:hAnsiTheme="minorHAnsi" w:cstheme="majorHAnsi"/>
      <w:kern w:val="2"/>
      <w:szCs w:val="21"/>
    </w:rPr>
  </w:style>
  <w:style w:type="paragraph" w:styleId="af6">
    <w:name w:val="annotation subject"/>
    <w:basedOn w:val="af4"/>
    <w:next w:val="af4"/>
    <w:link w:val="af7"/>
    <w:uiPriority w:val="99"/>
    <w:semiHidden/>
    <w:unhideWhenUsed/>
    <w:rsid w:val="00A50502"/>
    <w:rPr>
      <w:b/>
      <w:bCs/>
    </w:rPr>
  </w:style>
  <w:style w:type="character" w:customStyle="1" w:styleId="af7">
    <w:name w:val="批注主题 字符"/>
    <w:basedOn w:val="af5"/>
    <w:link w:val="af6"/>
    <w:uiPriority w:val="99"/>
    <w:semiHidden/>
    <w:rsid w:val="00A50502"/>
    <w:rPr>
      <w:rFonts w:asciiTheme="minorHAnsi" w:eastAsiaTheme="minorEastAsia" w:hAnsiTheme="minorHAnsi" w:cstheme="majorHAnsi"/>
      <w:b/>
      <w:bCs/>
      <w:kern w:val="2"/>
      <w:szCs w:val="21"/>
    </w:rPr>
  </w:style>
  <w:style w:type="character" w:customStyle="1" w:styleId="text-only">
    <w:name w:val="text-only"/>
    <w:basedOn w:val="a0"/>
    <w:rsid w:val="00A50502"/>
  </w:style>
  <w:style w:type="character" w:styleId="af8">
    <w:name w:val="Placeholder Text"/>
    <w:basedOn w:val="a0"/>
    <w:uiPriority w:val="99"/>
    <w:semiHidden/>
    <w:rsid w:val="00A50502"/>
    <w:rPr>
      <w:color w:val="808080"/>
    </w:rPr>
  </w:style>
  <w:style w:type="paragraph" w:customStyle="1" w:styleId="relative">
    <w:name w:val="relative"/>
    <w:basedOn w:val="a"/>
    <w:rsid w:val="00A50502"/>
    <w:pPr>
      <w:spacing w:before="100" w:beforeAutospacing="1" w:after="100" w:afterAutospacing="1"/>
    </w:pPr>
  </w:style>
  <w:style w:type="character" w:customStyle="1" w:styleId="absolute">
    <w:name w:val="absolute"/>
    <w:basedOn w:val="a0"/>
    <w:rsid w:val="00A50502"/>
  </w:style>
  <w:style w:type="character" w:customStyle="1" w:styleId="mrel">
    <w:name w:val="mrel"/>
    <w:basedOn w:val="a0"/>
    <w:rsid w:val="00A50502"/>
  </w:style>
  <w:style w:type="character" w:customStyle="1" w:styleId="mbin">
    <w:name w:val="mbin"/>
    <w:basedOn w:val="a0"/>
    <w:rsid w:val="00A50502"/>
  </w:style>
  <w:style w:type="character" w:customStyle="1" w:styleId="vlist-s">
    <w:name w:val="vlist-s"/>
    <w:basedOn w:val="a0"/>
    <w:rsid w:val="00A50502"/>
  </w:style>
  <w:style w:type="character" w:customStyle="1" w:styleId="mopen">
    <w:name w:val="mopen"/>
    <w:basedOn w:val="a0"/>
    <w:rsid w:val="00A50502"/>
  </w:style>
  <w:style w:type="character" w:customStyle="1" w:styleId="mclose">
    <w:name w:val="mclose"/>
    <w:basedOn w:val="a0"/>
    <w:rsid w:val="00A50502"/>
  </w:style>
  <w:style w:type="character" w:customStyle="1" w:styleId="katex-error">
    <w:name w:val="katex-error"/>
    <w:basedOn w:val="a0"/>
    <w:rsid w:val="00A50502"/>
  </w:style>
  <w:style w:type="character" w:customStyle="1" w:styleId="delimsizing">
    <w:name w:val="delimsizing"/>
    <w:basedOn w:val="a0"/>
    <w:rsid w:val="00A50502"/>
  </w:style>
  <w:style w:type="paragraph" w:styleId="HTML">
    <w:name w:val="HTML Preformatted"/>
    <w:basedOn w:val="a"/>
    <w:link w:val="HTML0"/>
    <w:uiPriority w:val="99"/>
    <w:semiHidden/>
    <w:unhideWhenUsed/>
    <w:rsid w:val="00A50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A50502"/>
    <w:rPr>
      <w:rFonts w:asciiTheme="minorHAnsi" w:eastAsiaTheme="minorEastAsia" w:hAnsiTheme="minorHAnsi" w:cstheme="majorHAnsi"/>
      <w:kern w:val="2"/>
      <w:szCs w:val="21"/>
    </w:rPr>
  </w:style>
  <w:style w:type="character" w:styleId="HTML1">
    <w:name w:val="HTML Code"/>
    <w:basedOn w:val="a0"/>
    <w:uiPriority w:val="99"/>
    <w:semiHidden/>
    <w:unhideWhenUsed/>
    <w:rsid w:val="00A50502"/>
    <w:rPr>
      <w:rFonts w:ascii="宋体" w:eastAsia="宋体" w:hAnsi="宋体" w:cs="宋体"/>
      <w:sz w:val="24"/>
      <w:szCs w:val="24"/>
    </w:rPr>
  </w:style>
  <w:style w:type="paragraph" w:customStyle="1" w:styleId="ds-markdown-paragraph">
    <w:name w:val="ds-markdown-paragraph"/>
    <w:basedOn w:val="a"/>
    <w:rsid w:val="00A50502"/>
    <w:pPr>
      <w:spacing w:before="100" w:beforeAutospacing="1" w:afterLines="0"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oter" Target="footer1.xm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10</Pages>
  <Words>3051</Words>
  <Characters>17396</Characters>
  <Application>Microsoft Office Word</Application>
  <DocSecurity>0</DocSecurity>
  <Lines>144</Lines>
  <Paragraphs>40</Paragraphs>
  <ScaleCrop>false</ScaleCrop>
  <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14</cp:revision>
  <dcterms:created xsi:type="dcterms:W3CDTF">2025-05-09T08:35:00Z</dcterms:created>
  <dcterms:modified xsi:type="dcterms:W3CDTF">2025-05-09T10:32:00Z</dcterms:modified>
</cp:coreProperties>
</file>

<file path=docProps/custom.xml><?xml version="1.0" encoding="utf-8"?>
<Properties xmlns:vt="http://schemas.openxmlformats.org/officeDocument/2006/docPropsVTypes" xmlns="http://schemas.openxmlformats.org/officeDocument/2006/custom-properties">
  <property name="CWM8ebae2f02cc411f080000f9d00000e9d" pid="2" fmtid="{D5CDD505-2E9C-101B-9397-08002B2CF9AE}">
    <vt:lpwstr>CWMZs2EAnJx4bRs5RIltD65ti2i0IicHhpaENRhUrMWH+IBndrJWNVMzYVm3l1xbFRR2f89LaXV5xsfXoSSkad6gw==</vt:lpwstr>
  </property>
</Properties>
</file>